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B4B" w:rsidRDefault="00DA0B4B" w:rsidP="00DA0B4B">
      <w:pPr>
        <w:spacing w:line="360" w:lineRule="auto"/>
        <w:jc w:val="right"/>
        <w:rPr>
          <w:rFonts w:ascii="Times New Roman" w:hAnsi="Times New Roman" w:cs="Times New Roman"/>
          <w:b/>
          <w:i/>
          <w:sz w:val="72"/>
          <w:szCs w:val="72"/>
          <w:lang w:val="en-US"/>
        </w:rPr>
      </w:pPr>
      <w:r>
        <w:rPr>
          <w:rFonts w:ascii="Times New Roman" w:hAnsi="Times New Roman" w:cs="Times New Roman"/>
          <w:b/>
          <w:i/>
          <w:sz w:val="72"/>
          <w:szCs w:val="72"/>
          <w:lang w:val="en-US"/>
        </w:rPr>
        <w:t>…WOW,  full !</w:t>
      </w:r>
    </w:p>
    <w:p w:rsidR="00DA0B4B" w:rsidRDefault="00DA0B4B" w:rsidP="00DA0B4B">
      <w:pPr>
        <w:jc w:val="right"/>
        <w:rPr>
          <w:rFonts w:ascii="Times New Roman" w:hAnsi="Times New Roman" w:cs="Times New Roman"/>
          <w:b/>
          <w:sz w:val="40"/>
          <w:szCs w:val="40"/>
          <w:lang w:val="en-US"/>
        </w:rPr>
      </w:pPr>
      <w:r>
        <w:rPr>
          <w:rFonts w:ascii="Times New Roman" w:hAnsi="Times New Roman" w:cs="Times New Roman"/>
          <w:b/>
          <w:sz w:val="40"/>
          <w:szCs w:val="40"/>
          <w:lang w:val="en-US"/>
        </w:rPr>
        <w:t>From Crisis to Triumph: Mirai Biome's Green Revolution</w:t>
      </w:r>
    </w:p>
    <w:p w:rsidR="00DA0B4B" w:rsidRPr="003155BE" w:rsidRDefault="00DA0B4B" w:rsidP="00DA0B4B">
      <w:pPr>
        <w:spacing w:after="0" w:line="240" w:lineRule="auto"/>
        <w:jc w:val="right"/>
        <w:rPr>
          <w:rFonts w:ascii="Times New Roman" w:hAnsi="Times New Roman" w:cs="Times New Roman"/>
          <w:b/>
          <w:sz w:val="40"/>
          <w:szCs w:val="40"/>
          <w:lang w:val="en-US"/>
        </w:rPr>
      </w:pPr>
    </w:p>
    <w:p w:rsidR="00DA0B4B" w:rsidRPr="003155BE" w:rsidRDefault="00DA0B4B" w:rsidP="00DA0B4B">
      <w:pPr>
        <w:spacing w:after="0" w:line="240" w:lineRule="auto"/>
        <w:jc w:val="right"/>
        <w:rPr>
          <w:rFonts w:ascii="Times New Roman" w:hAnsi="Times New Roman" w:cs="Times New Roman"/>
          <w:b/>
          <w:sz w:val="40"/>
          <w:szCs w:val="40"/>
          <w:lang w:val="en-US"/>
        </w:rPr>
      </w:pPr>
      <w:r w:rsidRPr="003155BE">
        <w:rPr>
          <w:rFonts w:ascii="Times New Roman" w:hAnsi="Times New Roman" w:cs="Times New Roman"/>
          <w:b/>
          <w:sz w:val="40"/>
          <w:szCs w:val="40"/>
          <w:lang w:val="en-US"/>
        </w:rPr>
        <w:t>Digester  to  SDG 15.1</w:t>
      </w:r>
    </w:p>
    <w:p w:rsidR="00DA0B4B" w:rsidRPr="003155BE" w:rsidRDefault="00DA0B4B" w:rsidP="00DA0B4B">
      <w:pPr>
        <w:spacing w:after="0" w:line="240" w:lineRule="auto"/>
        <w:jc w:val="right"/>
        <w:rPr>
          <w:rFonts w:ascii="Times New Roman" w:hAnsi="Times New Roman" w:cs="Times New Roman"/>
          <w:b/>
          <w:sz w:val="40"/>
          <w:szCs w:val="40"/>
          <w:lang w:val="en-US"/>
        </w:rPr>
      </w:pPr>
    </w:p>
    <w:p w:rsidR="00DA0B4B" w:rsidRPr="003155BE" w:rsidRDefault="00DA0B4B" w:rsidP="00DA0B4B">
      <w:pPr>
        <w:spacing w:after="0" w:line="240" w:lineRule="auto"/>
        <w:jc w:val="right"/>
        <w:rPr>
          <w:rFonts w:ascii="Times New Roman" w:hAnsi="Times New Roman" w:cs="Times New Roman"/>
          <w:b/>
          <w:sz w:val="40"/>
          <w:szCs w:val="40"/>
          <w:lang w:val="en-US"/>
        </w:rPr>
      </w:pPr>
      <w:r w:rsidRPr="003155BE">
        <w:rPr>
          <w:rFonts w:ascii="Times New Roman" w:hAnsi="Times New Roman" w:cs="Times New Roman"/>
          <w:b/>
          <w:sz w:val="40"/>
          <w:szCs w:val="40"/>
          <w:lang w:val="en-US"/>
        </w:rPr>
        <w:t xml:space="preserve">SDG 15.1 what get by MBGC ? </w:t>
      </w:r>
    </w:p>
    <w:p w:rsidR="00DA0B4B" w:rsidRPr="003155BE" w:rsidRDefault="00DA0B4B" w:rsidP="00DA0B4B">
      <w:pPr>
        <w:spacing w:after="0" w:line="240" w:lineRule="auto"/>
        <w:jc w:val="right"/>
        <w:rPr>
          <w:rFonts w:ascii="Times New Roman" w:hAnsi="Times New Roman" w:cs="Times New Roman"/>
          <w:b/>
          <w:sz w:val="40"/>
          <w:szCs w:val="40"/>
          <w:lang w:val="en-US"/>
        </w:rPr>
      </w:pPr>
      <w:r w:rsidRPr="003155BE">
        <w:rPr>
          <w:rFonts w:ascii="Times New Roman" w:hAnsi="Times New Roman" w:cs="Times New Roman"/>
          <w:b/>
          <w:sz w:val="40"/>
          <w:szCs w:val="40"/>
          <w:lang w:val="en-US"/>
        </w:rPr>
        <w:t>(Mini Bio Gas Continuous)</w:t>
      </w:r>
    </w:p>
    <w:p w:rsidR="00DA0B4B" w:rsidRDefault="00DA0B4B" w:rsidP="00DA0B4B">
      <w:pPr>
        <w:spacing w:after="0" w:line="240" w:lineRule="auto"/>
        <w:jc w:val="both"/>
        <w:rPr>
          <w:rFonts w:ascii="Times New Roman" w:hAnsi="Times New Roman" w:cs="Times New Roman"/>
          <w:b/>
          <w:sz w:val="72"/>
          <w:szCs w:val="72"/>
          <w:lang w:val="en-US"/>
        </w:rPr>
      </w:pPr>
    </w:p>
    <w:p w:rsidR="00DA0B4B" w:rsidRDefault="00DA0B4B" w:rsidP="00DA0B4B">
      <w:pPr>
        <w:spacing w:after="0" w:line="240" w:lineRule="auto"/>
        <w:jc w:val="both"/>
        <w:rPr>
          <w:rFonts w:ascii="Times New Roman" w:eastAsia="Times New Roman" w:hAnsi="Times New Roman" w:cs="Times New Roman"/>
          <w:b/>
          <w:sz w:val="28"/>
          <w:szCs w:val="28"/>
          <w:lang w:val="en-US" w:eastAsia="it-IT"/>
        </w:rPr>
      </w:pPr>
      <w:r>
        <w:rPr>
          <w:rFonts w:ascii="Times New Roman" w:eastAsia="Times New Roman" w:hAnsi="Times New Roman" w:cs="Times New Roman"/>
          <w:b/>
          <w:sz w:val="28"/>
          <w:szCs w:val="28"/>
          <w:lang w:val="en-US" w:eastAsia="it-IT"/>
        </w:rPr>
        <w:t>Digester - MBGC toward SDGs/UN 15.1</w:t>
      </w:r>
    </w:p>
    <w:p w:rsidR="00DA0B4B" w:rsidRPr="003155BE" w:rsidRDefault="00DA0B4B" w:rsidP="00DA0B4B">
      <w:pPr>
        <w:spacing w:line="240" w:lineRule="auto"/>
        <w:jc w:val="both"/>
        <w:rPr>
          <w:rFonts w:ascii="Times New Roman" w:hAnsi="Times New Roman" w:cs="Times New Roman"/>
          <w:sz w:val="24"/>
          <w:szCs w:val="24"/>
          <w:lang w:val="en-US"/>
        </w:rPr>
      </w:pPr>
      <w:r w:rsidRPr="003155BE">
        <w:rPr>
          <w:rFonts w:ascii="Times New Roman" w:eastAsia="Times New Roman" w:hAnsi="Times New Roman" w:cs="Times New Roman"/>
          <w:sz w:val="24"/>
          <w:szCs w:val="24"/>
          <w:lang w:val="en-US" w:eastAsia="it-IT"/>
        </w:rPr>
        <w:t>(Target 15.1:       By 2020, ensure the conservation, restoration and sustainable use of terrestrial and inland freshwater ecosystems and their services, in particular forests, wetlands, mountains and drylands, in line with obligations under international agreements)</w:t>
      </w:r>
    </w:p>
    <w:p w:rsidR="00DA0B4B" w:rsidRDefault="00DA0B4B" w:rsidP="00DA0B4B">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A0B4B" w:rsidRPr="005E3357" w:rsidRDefault="00DA0B4B" w:rsidP="00DA0B4B">
      <w:pPr>
        <w:spacing w:line="360" w:lineRule="auto"/>
        <w:jc w:val="both"/>
        <w:rPr>
          <w:rFonts w:ascii="Times New Roman" w:hAnsi="Times New Roman" w:cs="Times New Roman"/>
          <w:sz w:val="24"/>
          <w:szCs w:val="24"/>
          <w:lang w:val="en-US"/>
        </w:rPr>
      </w:pPr>
    </w:p>
    <w:p w:rsidR="00DA0B4B" w:rsidRPr="005E3357" w:rsidRDefault="00DA0B4B" w:rsidP="00DA0B4B">
      <w:pPr>
        <w:spacing w:line="360" w:lineRule="auto"/>
        <w:jc w:val="both"/>
        <w:rPr>
          <w:rFonts w:ascii="Times New Roman" w:hAnsi="Times New Roman" w:cs="Times New Roman"/>
          <w:sz w:val="24"/>
          <w:szCs w:val="24"/>
          <w:lang w:val="en-US"/>
        </w:rPr>
      </w:pP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Content>
        <w:p w:rsidR="00DA0B4B" w:rsidRDefault="00DA0B4B" w:rsidP="00DA0B4B">
          <w:pPr>
            <w:pStyle w:val="Titolosommario"/>
            <w:jc w:val="both"/>
            <w:rPr>
              <w:rFonts w:cs="Times New Roman"/>
              <w:sz w:val="24"/>
              <w:szCs w:val="24"/>
            </w:rPr>
          </w:pPr>
          <w:r w:rsidRPr="00356F94">
            <w:rPr>
              <w:rFonts w:cs="Times New Roman"/>
              <w:sz w:val="40"/>
              <w:szCs w:val="40"/>
            </w:rPr>
            <w:t>Summary</w:t>
          </w:r>
        </w:p>
        <w:p w:rsidR="00DA0B4B" w:rsidRPr="00373823" w:rsidRDefault="00DA0B4B" w:rsidP="00DA0B4B"/>
        <w:p w:rsidR="005D6701" w:rsidRPr="005D6701" w:rsidRDefault="00FB3048">
          <w:pPr>
            <w:pStyle w:val="Sommario1"/>
            <w:rPr>
              <w:rFonts w:eastAsiaTheme="minorEastAsia"/>
              <w:b/>
              <w:lang w:val="it-IT" w:eastAsia="it-IT"/>
            </w:rPr>
          </w:pPr>
          <w:r w:rsidRPr="00FB3048">
            <w:rPr>
              <w:rFonts w:ascii="Times New Roman" w:hAnsi="Times New Roman" w:cs="Times New Roman"/>
              <w:sz w:val="24"/>
              <w:szCs w:val="24"/>
            </w:rPr>
            <w:fldChar w:fldCharType="begin"/>
          </w:r>
          <w:r w:rsidR="00DA0B4B" w:rsidRPr="00E40853">
            <w:rPr>
              <w:rFonts w:ascii="Times New Roman" w:hAnsi="Times New Roman" w:cs="Times New Roman"/>
              <w:sz w:val="24"/>
              <w:szCs w:val="24"/>
            </w:rPr>
            <w:instrText xml:space="preserve"> TOC \o "1-3" \h \z \u </w:instrText>
          </w:r>
          <w:r w:rsidRPr="00FB3048">
            <w:rPr>
              <w:rFonts w:ascii="Times New Roman" w:hAnsi="Times New Roman" w:cs="Times New Roman"/>
              <w:sz w:val="24"/>
              <w:szCs w:val="24"/>
            </w:rPr>
            <w:fldChar w:fldCharType="separate"/>
          </w:r>
          <w:hyperlink w:anchor="_Toc151759438" w:history="1">
            <w:r w:rsidR="005D6701" w:rsidRPr="005D6701">
              <w:rPr>
                <w:rStyle w:val="Collegamentoipertestuale"/>
                <w:b/>
              </w:rPr>
              <w:t>From Crisis to Triumph:</w:t>
            </w:r>
            <w:r w:rsidR="005D6701" w:rsidRPr="005D6701">
              <w:rPr>
                <w:b/>
                <w:webHidden/>
              </w:rPr>
              <w:tab/>
            </w:r>
            <w:r w:rsidR="005D6701" w:rsidRPr="005D6701">
              <w:rPr>
                <w:b/>
                <w:webHidden/>
              </w:rPr>
              <w:fldChar w:fldCharType="begin"/>
            </w:r>
            <w:r w:rsidR="005D6701" w:rsidRPr="005D6701">
              <w:rPr>
                <w:b/>
                <w:webHidden/>
              </w:rPr>
              <w:instrText xml:space="preserve"> PAGEREF _Toc151759438 \h </w:instrText>
            </w:r>
            <w:r w:rsidR="005D6701" w:rsidRPr="005D6701">
              <w:rPr>
                <w:b/>
                <w:webHidden/>
              </w:rPr>
            </w:r>
            <w:r w:rsidR="005D6701" w:rsidRPr="005D6701">
              <w:rPr>
                <w:b/>
                <w:webHidden/>
              </w:rPr>
              <w:fldChar w:fldCharType="separate"/>
            </w:r>
            <w:r w:rsidR="005D6701" w:rsidRPr="005D6701">
              <w:rPr>
                <w:b/>
                <w:webHidden/>
              </w:rPr>
              <w:t>5</w:t>
            </w:r>
            <w:r w:rsidR="005D6701" w:rsidRPr="005D6701">
              <w:rPr>
                <w:b/>
                <w:webHidden/>
              </w:rPr>
              <w:fldChar w:fldCharType="end"/>
            </w:r>
          </w:hyperlink>
        </w:p>
        <w:p w:rsidR="005D6701" w:rsidRPr="005D6701" w:rsidRDefault="005D6701">
          <w:pPr>
            <w:pStyle w:val="Sommario1"/>
            <w:rPr>
              <w:rFonts w:eastAsiaTheme="minorEastAsia"/>
              <w:b/>
              <w:lang w:val="it-IT" w:eastAsia="it-IT"/>
            </w:rPr>
          </w:pPr>
          <w:hyperlink w:anchor="_Toc151759439" w:history="1">
            <w:r w:rsidRPr="005D6701">
              <w:rPr>
                <w:rStyle w:val="Collegamentoipertestuale"/>
                <w:b/>
              </w:rPr>
              <w:t>Mirai Biome's Green Revolution</w:t>
            </w:r>
            <w:r w:rsidRPr="005D6701">
              <w:rPr>
                <w:b/>
                <w:webHidden/>
              </w:rPr>
              <w:tab/>
            </w:r>
            <w:r w:rsidRPr="005D6701">
              <w:rPr>
                <w:b/>
                <w:webHidden/>
              </w:rPr>
              <w:fldChar w:fldCharType="begin"/>
            </w:r>
            <w:r w:rsidRPr="005D6701">
              <w:rPr>
                <w:b/>
                <w:webHidden/>
              </w:rPr>
              <w:instrText xml:space="preserve"> PAGEREF _Toc151759439 \h </w:instrText>
            </w:r>
            <w:r w:rsidRPr="005D6701">
              <w:rPr>
                <w:b/>
                <w:webHidden/>
              </w:rPr>
            </w:r>
            <w:r w:rsidRPr="005D6701">
              <w:rPr>
                <w:b/>
                <w:webHidden/>
              </w:rPr>
              <w:fldChar w:fldCharType="separate"/>
            </w:r>
            <w:r w:rsidRPr="005D6701">
              <w:rPr>
                <w:b/>
                <w:webHidden/>
              </w:rPr>
              <w:t>5</w:t>
            </w:r>
            <w:r w:rsidRPr="005D6701">
              <w:rPr>
                <w:b/>
                <w:webHidden/>
              </w:rPr>
              <w:fldChar w:fldCharType="end"/>
            </w:r>
          </w:hyperlink>
        </w:p>
        <w:p w:rsidR="005D6701" w:rsidRDefault="005D6701">
          <w:pPr>
            <w:pStyle w:val="Sommario1"/>
            <w:rPr>
              <w:rFonts w:eastAsiaTheme="minorEastAsia"/>
              <w:lang w:val="it-IT" w:eastAsia="it-IT"/>
            </w:rPr>
          </w:pPr>
          <w:hyperlink w:anchor="_Toc151759440" w:history="1">
            <w:r w:rsidRPr="0005483A">
              <w:rPr>
                <w:rStyle w:val="Collegamentoipertestuale"/>
              </w:rPr>
              <w:t>Introduction</w:t>
            </w:r>
            <w:r>
              <w:rPr>
                <w:webHidden/>
              </w:rPr>
              <w:tab/>
            </w:r>
            <w:r>
              <w:rPr>
                <w:webHidden/>
              </w:rPr>
              <w:fldChar w:fldCharType="begin"/>
            </w:r>
            <w:r>
              <w:rPr>
                <w:webHidden/>
              </w:rPr>
              <w:instrText xml:space="preserve"> PAGEREF _Toc151759440 \h </w:instrText>
            </w:r>
            <w:r>
              <w:rPr>
                <w:webHidden/>
              </w:rPr>
            </w:r>
            <w:r>
              <w:rPr>
                <w:webHidden/>
              </w:rPr>
              <w:fldChar w:fldCharType="separate"/>
            </w:r>
            <w:r>
              <w:rPr>
                <w:webHidden/>
              </w:rPr>
              <w:t>5</w:t>
            </w:r>
            <w:r>
              <w:rPr>
                <w:webHidden/>
              </w:rPr>
              <w:fldChar w:fldCharType="end"/>
            </w:r>
          </w:hyperlink>
        </w:p>
        <w:p w:rsidR="005D6701" w:rsidRDefault="005D6701">
          <w:pPr>
            <w:pStyle w:val="Sommario1"/>
            <w:rPr>
              <w:rFonts w:eastAsiaTheme="minorEastAsia"/>
              <w:lang w:val="it-IT" w:eastAsia="it-IT"/>
            </w:rPr>
          </w:pPr>
          <w:hyperlink w:anchor="_Toc151759441" w:history="1">
            <w:r w:rsidRPr="0005483A">
              <w:rPr>
                <w:rStyle w:val="Collegamentoipertestuale"/>
              </w:rPr>
              <w:t>Characters</w:t>
            </w:r>
            <w:r>
              <w:rPr>
                <w:webHidden/>
              </w:rPr>
              <w:tab/>
            </w:r>
            <w:r>
              <w:rPr>
                <w:webHidden/>
              </w:rPr>
              <w:fldChar w:fldCharType="begin"/>
            </w:r>
            <w:r>
              <w:rPr>
                <w:webHidden/>
              </w:rPr>
              <w:instrText xml:space="preserve"> PAGEREF _Toc151759441 \h </w:instrText>
            </w:r>
            <w:r>
              <w:rPr>
                <w:webHidden/>
              </w:rPr>
            </w:r>
            <w:r>
              <w:rPr>
                <w:webHidden/>
              </w:rPr>
              <w:fldChar w:fldCharType="separate"/>
            </w:r>
            <w:r>
              <w:rPr>
                <w:webHidden/>
              </w:rPr>
              <w:t>8</w:t>
            </w:r>
            <w:r>
              <w:rPr>
                <w:webHidden/>
              </w:rPr>
              <w:fldChar w:fldCharType="end"/>
            </w:r>
          </w:hyperlink>
        </w:p>
        <w:p w:rsidR="005D6701" w:rsidRDefault="005D6701">
          <w:pPr>
            <w:pStyle w:val="Sommario1"/>
            <w:rPr>
              <w:rFonts w:eastAsiaTheme="minorEastAsia"/>
              <w:lang w:val="it-IT" w:eastAsia="it-IT"/>
            </w:rPr>
          </w:pPr>
          <w:hyperlink w:anchor="_Toc151759442" w:history="1">
            <w:r w:rsidRPr="0005483A">
              <w:rPr>
                <w:rStyle w:val="Collegamentoipertestuale"/>
              </w:rPr>
              <w:t>Story</w:t>
            </w:r>
            <w:r>
              <w:rPr>
                <w:webHidden/>
              </w:rPr>
              <w:tab/>
            </w:r>
            <w:r>
              <w:rPr>
                <w:webHidden/>
              </w:rPr>
              <w:fldChar w:fldCharType="begin"/>
            </w:r>
            <w:r>
              <w:rPr>
                <w:webHidden/>
              </w:rPr>
              <w:instrText xml:space="preserve"> PAGEREF _Toc151759442 \h </w:instrText>
            </w:r>
            <w:r>
              <w:rPr>
                <w:webHidden/>
              </w:rPr>
            </w:r>
            <w:r>
              <w:rPr>
                <w:webHidden/>
              </w:rPr>
              <w:fldChar w:fldCharType="separate"/>
            </w:r>
            <w:r>
              <w:rPr>
                <w:webHidden/>
              </w:rPr>
              <w:t>10</w:t>
            </w:r>
            <w:r>
              <w:rPr>
                <w:webHidden/>
              </w:rPr>
              <w:fldChar w:fldCharType="end"/>
            </w:r>
          </w:hyperlink>
        </w:p>
        <w:p w:rsidR="005D6701" w:rsidRDefault="005D6701">
          <w:pPr>
            <w:pStyle w:val="Sommario1"/>
            <w:rPr>
              <w:rFonts w:eastAsiaTheme="minorEastAsia"/>
              <w:lang w:val="it-IT" w:eastAsia="it-IT"/>
            </w:rPr>
          </w:pPr>
          <w:hyperlink w:anchor="_Toc151759443" w:history="1">
            <w:r w:rsidRPr="0005483A">
              <w:rPr>
                <w:rStyle w:val="Collegamentoipertestuale"/>
              </w:rPr>
              <w:t>JWT Green Patent Appeal</w:t>
            </w:r>
            <w:r>
              <w:rPr>
                <w:webHidden/>
              </w:rPr>
              <w:tab/>
            </w:r>
            <w:r>
              <w:rPr>
                <w:webHidden/>
              </w:rPr>
              <w:fldChar w:fldCharType="begin"/>
            </w:r>
            <w:r>
              <w:rPr>
                <w:webHidden/>
              </w:rPr>
              <w:instrText xml:space="preserve"> PAGEREF _Toc151759443 \h </w:instrText>
            </w:r>
            <w:r>
              <w:rPr>
                <w:webHidden/>
              </w:rPr>
            </w:r>
            <w:r>
              <w:rPr>
                <w:webHidden/>
              </w:rPr>
              <w:fldChar w:fldCharType="separate"/>
            </w:r>
            <w:r>
              <w:rPr>
                <w:webHidden/>
              </w:rPr>
              <w:t>16</w:t>
            </w:r>
            <w:r>
              <w:rPr>
                <w:webHidden/>
              </w:rPr>
              <w:fldChar w:fldCharType="end"/>
            </w:r>
          </w:hyperlink>
        </w:p>
        <w:p w:rsidR="005D6701" w:rsidRDefault="005D6701">
          <w:pPr>
            <w:pStyle w:val="Sommario1"/>
            <w:rPr>
              <w:rFonts w:eastAsiaTheme="minorEastAsia"/>
              <w:lang w:val="it-IT" w:eastAsia="it-IT"/>
            </w:rPr>
          </w:pPr>
          <w:hyperlink w:anchor="_Toc151759444" w:history="1">
            <w:r w:rsidRPr="0005483A">
              <w:rPr>
                <w:rStyle w:val="Collegamentoipertestuale"/>
              </w:rPr>
              <w:t>Word of Encouragement</w:t>
            </w:r>
            <w:r>
              <w:rPr>
                <w:webHidden/>
              </w:rPr>
              <w:tab/>
            </w:r>
            <w:r>
              <w:rPr>
                <w:webHidden/>
              </w:rPr>
              <w:fldChar w:fldCharType="begin"/>
            </w:r>
            <w:r>
              <w:rPr>
                <w:webHidden/>
              </w:rPr>
              <w:instrText xml:space="preserve"> PAGEREF _Toc151759444 \h </w:instrText>
            </w:r>
            <w:r>
              <w:rPr>
                <w:webHidden/>
              </w:rPr>
            </w:r>
            <w:r>
              <w:rPr>
                <w:webHidden/>
              </w:rPr>
              <w:fldChar w:fldCharType="separate"/>
            </w:r>
            <w:r>
              <w:rPr>
                <w:webHidden/>
              </w:rPr>
              <w:t>16</w:t>
            </w:r>
            <w:r>
              <w:rPr>
                <w:webHidden/>
              </w:rPr>
              <w:fldChar w:fldCharType="end"/>
            </w:r>
          </w:hyperlink>
        </w:p>
        <w:p w:rsidR="005D6701" w:rsidRDefault="005D6701">
          <w:pPr>
            <w:pStyle w:val="Sommario1"/>
            <w:rPr>
              <w:rFonts w:eastAsiaTheme="minorEastAsia"/>
              <w:lang w:val="it-IT" w:eastAsia="it-IT"/>
            </w:rPr>
          </w:pPr>
          <w:hyperlink w:anchor="_Toc151759445" w:history="1">
            <w:r w:rsidRPr="0005483A">
              <w:rPr>
                <w:rStyle w:val="Collegamentoipertestuale"/>
              </w:rPr>
              <w:t>Benefits After Implementing Sustainable Land Management in Japan</w:t>
            </w:r>
            <w:r>
              <w:rPr>
                <w:webHidden/>
              </w:rPr>
              <w:tab/>
            </w:r>
            <w:r>
              <w:rPr>
                <w:webHidden/>
              </w:rPr>
              <w:fldChar w:fldCharType="begin"/>
            </w:r>
            <w:r>
              <w:rPr>
                <w:webHidden/>
              </w:rPr>
              <w:instrText xml:space="preserve"> PAGEREF _Toc151759445 \h </w:instrText>
            </w:r>
            <w:r>
              <w:rPr>
                <w:webHidden/>
              </w:rPr>
            </w:r>
            <w:r>
              <w:rPr>
                <w:webHidden/>
              </w:rPr>
              <w:fldChar w:fldCharType="separate"/>
            </w:r>
            <w:r>
              <w:rPr>
                <w:webHidden/>
              </w:rPr>
              <w:t>18</w:t>
            </w:r>
            <w:r>
              <w:rPr>
                <w:webHidden/>
              </w:rPr>
              <w:fldChar w:fldCharType="end"/>
            </w:r>
          </w:hyperlink>
        </w:p>
        <w:p w:rsidR="005D6701" w:rsidRDefault="005D6701">
          <w:pPr>
            <w:pStyle w:val="Sommario1"/>
            <w:rPr>
              <w:rFonts w:eastAsiaTheme="minorEastAsia"/>
              <w:lang w:val="it-IT" w:eastAsia="it-IT"/>
            </w:rPr>
          </w:pPr>
          <w:hyperlink w:anchor="_Toc151759446" w:history="1">
            <w:r w:rsidRPr="0005483A">
              <w:rPr>
                <w:rStyle w:val="Collegamentoipertestuale"/>
              </w:rPr>
              <w:t>Environmental Renaissance: MBGC and SDG 15.1 for a Bright Future for Japan</w:t>
            </w:r>
            <w:r>
              <w:rPr>
                <w:webHidden/>
              </w:rPr>
              <w:tab/>
            </w:r>
            <w:r>
              <w:rPr>
                <w:webHidden/>
              </w:rPr>
              <w:fldChar w:fldCharType="begin"/>
            </w:r>
            <w:r>
              <w:rPr>
                <w:webHidden/>
              </w:rPr>
              <w:instrText xml:space="preserve"> PAGEREF _Toc151759446 \h </w:instrText>
            </w:r>
            <w:r>
              <w:rPr>
                <w:webHidden/>
              </w:rPr>
            </w:r>
            <w:r>
              <w:rPr>
                <w:webHidden/>
              </w:rPr>
              <w:fldChar w:fldCharType="separate"/>
            </w:r>
            <w:r>
              <w:rPr>
                <w:webHidden/>
              </w:rPr>
              <w:t>18</w:t>
            </w:r>
            <w:r>
              <w:rPr>
                <w:webHidden/>
              </w:rPr>
              <w:fldChar w:fldCharType="end"/>
            </w:r>
          </w:hyperlink>
        </w:p>
        <w:p w:rsidR="005D6701" w:rsidRDefault="005D6701">
          <w:pPr>
            <w:pStyle w:val="Sommario1"/>
            <w:rPr>
              <w:rFonts w:eastAsiaTheme="minorEastAsia"/>
              <w:lang w:val="it-IT" w:eastAsia="it-IT"/>
            </w:rPr>
          </w:pPr>
          <w:hyperlink w:anchor="_Toc151759447" w:history="1">
            <w:r w:rsidRPr="0005483A">
              <w:rPr>
                <w:rStyle w:val="Collegamentoipertestuale"/>
              </w:rPr>
              <w:t>Thriving ecosystems: the foundation of a successful environment</w:t>
            </w:r>
            <w:r>
              <w:rPr>
                <w:webHidden/>
              </w:rPr>
              <w:tab/>
            </w:r>
            <w:r>
              <w:rPr>
                <w:webHidden/>
              </w:rPr>
              <w:fldChar w:fldCharType="begin"/>
            </w:r>
            <w:r>
              <w:rPr>
                <w:webHidden/>
              </w:rPr>
              <w:instrText xml:space="preserve"> PAGEREF _Toc151759447 \h </w:instrText>
            </w:r>
            <w:r>
              <w:rPr>
                <w:webHidden/>
              </w:rPr>
            </w:r>
            <w:r>
              <w:rPr>
                <w:webHidden/>
              </w:rPr>
              <w:fldChar w:fldCharType="separate"/>
            </w:r>
            <w:r>
              <w:rPr>
                <w:webHidden/>
              </w:rPr>
              <w:t>18</w:t>
            </w:r>
            <w:r>
              <w:rPr>
                <w:webHidden/>
              </w:rPr>
              <w:fldChar w:fldCharType="end"/>
            </w:r>
          </w:hyperlink>
        </w:p>
        <w:p w:rsidR="005D6701" w:rsidRDefault="005D6701">
          <w:pPr>
            <w:pStyle w:val="Sommario1"/>
            <w:rPr>
              <w:rFonts w:eastAsiaTheme="minorEastAsia"/>
              <w:lang w:val="it-IT" w:eastAsia="it-IT"/>
            </w:rPr>
          </w:pPr>
          <w:hyperlink w:anchor="_Toc151759448" w:history="1">
            <w:r w:rsidRPr="0005483A">
              <w:rPr>
                <w:rStyle w:val="Collegamentoipertestuale"/>
              </w:rPr>
              <w:t>Coastal Rejuvenation: Exceeding Expectations in Every Way</w:t>
            </w:r>
            <w:r>
              <w:rPr>
                <w:webHidden/>
              </w:rPr>
              <w:tab/>
            </w:r>
            <w:r>
              <w:rPr>
                <w:webHidden/>
              </w:rPr>
              <w:fldChar w:fldCharType="begin"/>
            </w:r>
            <w:r>
              <w:rPr>
                <w:webHidden/>
              </w:rPr>
              <w:instrText xml:space="preserve"> PAGEREF _Toc151759448 \h </w:instrText>
            </w:r>
            <w:r>
              <w:rPr>
                <w:webHidden/>
              </w:rPr>
            </w:r>
            <w:r>
              <w:rPr>
                <w:webHidden/>
              </w:rPr>
              <w:fldChar w:fldCharType="separate"/>
            </w:r>
            <w:r>
              <w:rPr>
                <w:webHidden/>
              </w:rPr>
              <w:t>21</w:t>
            </w:r>
            <w:r>
              <w:rPr>
                <w:webHidden/>
              </w:rPr>
              <w:fldChar w:fldCharType="end"/>
            </w:r>
          </w:hyperlink>
        </w:p>
        <w:p w:rsidR="005D6701" w:rsidRDefault="005D6701">
          <w:pPr>
            <w:pStyle w:val="Sommario1"/>
            <w:rPr>
              <w:rFonts w:eastAsiaTheme="minorEastAsia"/>
              <w:lang w:val="it-IT" w:eastAsia="it-IT"/>
            </w:rPr>
          </w:pPr>
          <w:hyperlink w:anchor="_Toc151759449" w:history="1">
            <w:r w:rsidRPr="0005483A">
              <w:rPr>
                <w:rStyle w:val="Collegamentoipertestuale"/>
              </w:rPr>
              <w:t>Economic Benefits of Adopting Sustainable Land Management Practices</w:t>
            </w:r>
            <w:r>
              <w:rPr>
                <w:webHidden/>
              </w:rPr>
              <w:tab/>
            </w:r>
            <w:r>
              <w:rPr>
                <w:webHidden/>
              </w:rPr>
              <w:fldChar w:fldCharType="begin"/>
            </w:r>
            <w:r>
              <w:rPr>
                <w:webHidden/>
              </w:rPr>
              <w:instrText xml:space="preserve"> PAGEREF _Toc151759449 \h </w:instrText>
            </w:r>
            <w:r>
              <w:rPr>
                <w:webHidden/>
              </w:rPr>
            </w:r>
            <w:r>
              <w:rPr>
                <w:webHidden/>
              </w:rPr>
              <w:fldChar w:fldCharType="separate"/>
            </w:r>
            <w:r>
              <w:rPr>
                <w:webHidden/>
              </w:rPr>
              <w:t>22</w:t>
            </w:r>
            <w:r>
              <w:rPr>
                <w:webHidden/>
              </w:rPr>
              <w:fldChar w:fldCharType="end"/>
            </w:r>
          </w:hyperlink>
        </w:p>
        <w:p w:rsidR="005D6701" w:rsidRDefault="005D6701">
          <w:pPr>
            <w:pStyle w:val="Sommario1"/>
            <w:rPr>
              <w:rFonts w:eastAsiaTheme="minorEastAsia"/>
              <w:lang w:val="it-IT" w:eastAsia="it-IT"/>
            </w:rPr>
          </w:pPr>
          <w:hyperlink w:anchor="_Toc151759450" w:history="1">
            <w:r w:rsidRPr="0005483A">
              <w:rPr>
                <w:rStyle w:val="Collegamentoipertestuale"/>
              </w:rPr>
              <w:t>Japan's Sustainable Land Management Expertise: Market Potential and Industry Integration</w:t>
            </w:r>
            <w:r>
              <w:rPr>
                <w:webHidden/>
              </w:rPr>
              <w:tab/>
            </w:r>
            <w:r>
              <w:rPr>
                <w:webHidden/>
              </w:rPr>
              <w:fldChar w:fldCharType="begin"/>
            </w:r>
            <w:r>
              <w:rPr>
                <w:webHidden/>
              </w:rPr>
              <w:instrText xml:space="preserve"> PAGEREF _Toc151759450 \h </w:instrText>
            </w:r>
            <w:r>
              <w:rPr>
                <w:webHidden/>
              </w:rPr>
            </w:r>
            <w:r>
              <w:rPr>
                <w:webHidden/>
              </w:rPr>
              <w:fldChar w:fldCharType="separate"/>
            </w:r>
            <w:r>
              <w:rPr>
                <w:webHidden/>
              </w:rPr>
              <w:t>26</w:t>
            </w:r>
            <w:r>
              <w:rPr>
                <w:webHidden/>
              </w:rPr>
              <w:fldChar w:fldCharType="end"/>
            </w:r>
          </w:hyperlink>
        </w:p>
        <w:p w:rsidR="005D6701" w:rsidRDefault="005D6701">
          <w:pPr>
            <w:pStyle w:val="Sommario1"/>
            <w:rPr>
              <w:rFonts w:eastAsiaTheme="minorEastAsia"/>
              <w:lang w:val="it-IT" w:eastAsia="it-IT"/>
            </w:rPr>
          </w:pPr>
          <w:hyperlink w:anchor="_Toc151759451" w:history="1">
            <w:r w:rsidRPr="0005483A">
              <w:rPr>
                <w:rStyle w:val="Collegamentoipertestuale"/>
              </w:rPr>
              <w:t>MBGC Technology for Clean Energy and Environmental Sustainability Unlocking Opportunities</w:t>
            </w:r>
            <w:r>
              <w:rPr>
                <w:webHidden/>
              </w:rPr>
              <w:tab/>
            </w:r>
            <w:r>
              <w:rPr>
                <w:webHidden/>
              </w:rPr>
              <w:fldChar w:fldCharType="begin"/>
            </w:r>
            <w:r>
              <w:rPr>
                <w:webHidden/>
              </w:rPr>
              <w:instrText xml:space="preserve"> PAGEREF _Toc151759451 \h </w:instrText>
            </w:r>
            <w:r>
              <w:rPr>
                <w:webHidden/>
              </w:rPr>
            </w:r>
            <w:r>
              <w:rPr>
                <w:webHidden/>
              </w:rPr>
              <w:fldChar w:fldCharType="separate"/>
            </w:r>
            <w:r>
              <w:rPr>
                <w:webHidden/>
              </w:rPr>
              <w:t>31</w:t>
            </w:r>
            <w:r>
              <w:rPr>
                <w:webHidden/>
              </w:rPr>
              <w:fldChar w:fldCharType="end"/>
            </w:r>
          </w:hyperlink>
        </w:p>
        <w:p w:rsidR="005D6701" w:rsidRDefault="005D6701">
          <w:pPr>
            <w:pStyle w:val="Sommario1"/>
            <w:rPr>
              <w:rFonts w:eastAsiaTheme="minorEastAsia"/>
              <w:lang w:val="it-IT" w:eastAsia="it-IT"/>
            </w:rPr>
          </w:pPr>
          <w:hyperlink w:anchor="_Toc151759452" w:history="1">
            <w:r w:rsidRPr="0005483A">
              <w:rPr>
                <w:rStyle w:val="Collegamentoipertestuale"/>
              </w:rPr>
              <w:t>Conclusion</w:t>
            </w:r>
            <w:r>
              <w:rPr>
                <w:webHidden/>
              </w:rPr>
              <w:tab/>
            </w:r>
            <w:r>
              <w:rPr>
                <w:webHidden/>
              </w:rPr>
              <w:fldChar w:fldCharType="begin"/>
            </w:r>
            <w:r>
              <w:rPr>
                <w:webHidden/>
              </w:rPr>
              <w:instrText xml:space="preserve"> PAGEREF _Toc151759452 \h </w:instrText>
            </w:r>
            <w:r>
              <w:rPr>
                <w:webHidden/>
              </w:rPr>
            </w:r>
            <w:r>
              <w:rPr>
                <w:webHidden/>
              </w:rPr>
              <w:fldChar w:fldCharType="separate"/>
            </w:r>
            <w:r>
              <w:rPr>
                <w:webHidden/>
              </w:rPr>
              <w:t>35</w:t>
            </w:r>
            <w:r>
              <w:rPr>
                <w:webHidden/>
              </w:rPr>
              <w:fldChar w:fldCharType="end"/>
            </w:r>
          </w:hyperlink>
        </w:p>
        <w:p w:rsidR="005D6701" w:rsidRDefault="005D6701">
          <w:pPr>
            <w:pStyle w:val="Sommario1"/>
            <w:rPr>
              <w:rStyle w:val="Collegamentoipertestuale"/>
            </w:rPr>
          </w:pPr>
        </w:p>
        <w:p w:rsidR="005D6701" w:rsidRDefault="005D6701">
          <w:pPr>
            <w:pStyle w:val="Sommario1"/>
            <w:rPr>
              <w:rStyle w:val="Collegamentoipertestuale"/>
            </w:rPr>
          </w:pPr>
        </w:p>
        <w:p w:rsidR="005D6701" w:rsidRPr="005D6701" w:rsidRDefault="005D6701">
          <w:pPr>
            <w:pStyle w:val="Sommario1"/>
            <w:rPr>
              <w:rFonts w:eastAsiaTheme="minorEastAsia"/>
              <w:b/>
              <w:lang w:val="it-IT" w:eastAsia="it-IT"/>
            </w:rPr>
          </w:pPr>
          <w:hyperlink w:anchor="_Toc151759453" w:history="1">
            <w:r w:rsidRPr="005D6701">
              <w:rPr>
                <w:rStyle w:val="Collegamentoipertestuale"/>
                <w:b/>
              </w:rPr>
              <w:t>Digester  to  SDG 15.1</w:t>
            </w:r>
            <w:r w:rsidRPr="005D6701">
              <w:rPr>
                <w:b/>
                <w:webHidden/>
              </w:rPr>
              <w:tab/>
            </w:r>
            <w:r w:rsidRPr="005D6701">
              <w:rPr>
                <w:b/>
                <w:webHidden/>
              </w:rPr>
              <w:fldChar w:fldCharType="begin"/>
            </w:r>
            <w:r w:rsidRPr="005D6701">
              <w:rPr>
                <w:b/>
                <w:webHidden/>
              </w:rPr>
              <w:instrText xml:space="preserve"> PAGEREF _Toc151759453 \h </w:instrText>
            </w:r>
            <w:r w:rsidRPr="005D6701">
              <w:rPr>
                <w:b/>
                <w:webHidden/>
              </w:rPr>
            </w:r>
            <w:r w:rsidRPr="005D6701">
              <w:rPr>
                <w:b/>
                <w:webHidden/>
              </w:rPr>
              <w:fldChar w:fldCharType="separate"/>
            </w:r>
            <w:r w:rsidRPr="005D6701">
              <w:rPr>
                <w:b/>
                <w:webHidden/>
              </w:rPr>
              <w:t>41</w:t>
            </w:r>
            <w:r w:rsidRPr="005D6701">
              <w:rPr>
                <w:b/>
                <w:webHidden/>
              </w:rPr>
              <w:fldChar w:fldCharType="end"/>
            </w:r>
          </w:hyperlink>
        </w:p>
        <w:p w:rsidR="005D6701" w:rsidRPr="005D6701" w:rsidRDefault="005D6701">
          <w:pPr>
            <w:pStyle w:val="Sommario1"/>
            <w:rPr>
              <w:rFonts w:eastAsiaTheme="minorEastAsia"/>
              <w:b/>
              <w:lang w:val="it-IT" w:eastAsia="it-IT"/>
            </w:rPr>
          </w:pPr>
          <w:hyperlink w:anchor="_Toc151759454" w:history="1">
            <w:r w:rsidRPr="005D6701">
              <w:rPr>
                <w:rStyle w:val="Collegamentoipertestuale"/>
                <w:b/>
              </w:rPr>
              <w:t>The Sustainable Development Goals (SDGs): Target 1: A Full Investigation Goal 15 and SDG 15.1</w:t>
            </w:r>
            <w:r w:rsidRPr="005D6701">
              <w:rPr>
                <w:b/>
                <w:webHidden/>
              </w:rPr>
              <w:tab/>
            </w:r>
            <w:r w:rsidRPr="005D6701">
              <w:rPr>
                <w:b/>
                <w:webHidden/>
              </w:rPr>
              <w:fldChar w:fldCharType="begin"/>
            </w:r>
            <w:r w:rsidRPr="005D6701">
              <w:rPr>
                <w:b/>
                <w:webHidden/>
              </w:rPr>
              <w:instrText xml:space="preserve"> PAGEREF _Toc151759454 \h </w:instrText>
            </w:r>
            <w:r w:rsidRPr="005D6701">
              <w:rPr>
                <w:b/>
                <w:webHidden/>
              </w:rPr>
            </w:r>
            <w:r w:rsidRPr="005D6701">
              <w:rPr>
                <w:b/>
                <w:webHidden/>
              </w:rPr>
              <w:fldChar w:fldCharType="separate"/>
            </w:r>
            <w:r w:rsidRPr="005D6701">
              <w:rPr>
                <w:b/>
                <w:webHidden/>
              </w:rPr>
              <w:t>41</w:t>
            </w:r>
            <w:r w:rsidRPr="005D6701">
              <w:rPr>
                <w:b/>
                <w:webHidden/>
              </w:rPr>
              <w:fldChar w:fldCharType="end"/>
            </w:r>
          </w:hyperlink>
        </w:p>
        <w:p w:rsidR="005D6701" w:rsidRDefault="005D6701">
          <w:pPr>
            <w:pStyle w:val="Sommario1"/>
            <w:rPr>
              <w:rFonts w:eastAsiaTheme="minorEastAsia"/>
              <w:lang w:val="it-IT" w:eastAsia="it-IT"/>
            </w:rPr>
          </w:pPr>
          <w:hyperlink w:anchor="_Toc151759455" w:history="1">
            <w:r w:rsidRPr="0005483A">
              <w:rPr>
                <w:rStyle w:val="Collegamentoipertestuale"/>
              </w:rPr>
              <w:t>Socio-Economic Impact of Biodiversity Conservation and Sustainable Land Management</w:t>
            </w:r>
            <w:r>
              <w:rPr>
                <w:webHidden/>
              </w:rPr>
              <w:tab/>
            </w:r>
            <w:r>
              <w:rPr>
                <w:webHidden/>
              </w:rPr>
              <w:fldChar w:fldCharType="begin"/>
            </w:r>
            <w:r>
              <w:rPr>
                <w:webHidden/>
              </w:rPr>
              <w:instrText xml:space="preserve"> PAGEREF _Toc151759455 \h </w:instrText>
            </w:r>
            <w:r>
              <w:rPr>
                <w:webHidden/>
              </w:rPr>
            </w:r>
            <w:r>
              <w:rPr>
                <w:webHidden/>
              </w:rPr>
              <w:fldChar w:fldCharType="separate"/>
            </w:r>
            <w:r>
              <w:rPr>
                <w:webHidden/>
              </w:rPr>
              <w:t>50</w:t>
            </w:r>
            <w:r>
              <w:rPr>
                <w:webHidden/>
              </w:rPr>
              <w:fldChar w:fldCharType="end"/>
            </w:r>
          </w:hyperlink>
        </w:p>
        <w:p w:rsidR="005D6701" w:rsidRDefault="005D6701">
          <w:pPr>
            <w:pStyle w:val="Sommario1"/>
            <w:rPr>
              <w:rFonts w:eastAsiaTheme="minorEastAsia"/>
              <w:lang w:val="it-IT" w:eastAsia="it-IT"/>
            </w:rPr>
          </w:pPr>
          <w:hyperlink w:anchor="_Toc151759456" w:history="1">
            <w:r w:rsidRPr="0005483A">
              <w:rPr>
                <w:rStyle w:val="Collegamentoipertestuale"/>
              </w:rPr>
              <w:t>Partnerships and Collaborations</w:t>
            </w:r>
            <w:r>
              <w:rPr>
                <w:webHidden/>
              </w:rPr>
              <w:tab/>
            </w:r>
            <w:r>
              <w:rPr>
                <w:webHidden/>
              </w:rPr>
              <w:fldChar w:fldCharType="begin"/>
            </w:r>
            <w:r>
              <w:rPr>
                <w:webHidden/>
              </w:rPr>
              <w:instrText xml:space="preserve"> PAGEREF _Toc151759456 \h </w:instrText>
            </w:r>
            <w:r>
              <w:rPr>
                <w:webHidden/>
              </w:rPr>
            </w:r>
            <w:r>
              <w:rPr>
                <w:webHidden/>
              </w:rPr>
              <w:fldChar w:fldCharType="separate"/>
            </w:r>
            <w:r>
              <w:rPr>
                <w:webHidden/>
              </w:rPr>
              <w:t>61</w:t>
            </w:r>
            <w:r>
              <w:rPr>
                <w:webHidden/>
              </w:rPr>
              <w:fldChar w:fldCharType="end"/>
            </w:r>
          </w:hyperlink>
        </w:p>
        <w:p w:rsidR="005D6701" w:rsidRDefault="005D6701">
          <w:pPr>
            <w:pStyle w:val="Sommario1"/>
            <w:rPr>
              <w:rFonts w:eastAsiaTheme="minorEastAsia"/>
              <w:lang w:val="it-IT" w:eastAsia="it-IT"/>
            </w:rPr>
          </w:pPr>
          <w:hyperlink w:anchor="_Toc151759457" w:history="1">
            <w:r w:rsidRPr="0005483A">
              <w:rPr>
                <w:rStyle w:val="Collegamentoipertestuale"/>
              </w:rPr>
              <w:t>Long-term Sustainability and Scalability: Nurturing Public Perception and Community Involvement in Biodiversity Conservation</w:t>
            </w:r>
            <w:r>
              <w:rPr>
                <w:webHidden/>
              </w:rPr>
              <w:tab/>
            </w:r>
            <w:r>
              <w:rPr>
                <w:webHidden/>
              </w:rPr>
              <w:fldChar w:fldCharType="begin"/>
            </w:r>
            <w:r>
              <w:rPr>
                <w:webHidden/>
              </w:rPr>
              <w:instrText xml:space="preserve"> PAGEREF _Toc151759457 \h </w:instrText>
            </w:r>
            <w:r>
              <w:rPr>
                <w:webHidden/>
              </w:rPr>
            </w:r>
            <w:r>
              <w:rPr>
                <w:webHidden/>
              </w:rPr>
              <w:fldChar w:fldCharType="separate"/>
            </w:r>
            <w:r>
              <w:rPr>
                <w:webHidden/>
              </w:rPr>
              <w:t>73</w:t>
            </w:r>
            <w:r>
              <w:rPr>
                <w:webHidden/>
              </w:rPr>
              <w:fldChar w:fldCharType="end"/>
            </w:r>
          </w:hyperlink>
        </w:p>
        <w:p w:rsidR="005D6701" w:rsidRDefault="005D6701">
          <w:pPr>
            <w:pStyle w:val="Sommario1"/>
            <w:rPr>
              <w:rStyle w:val="Collegamentoipertestuale"/>
            </w:rPr>
          </w:pPr>
        </w:p>
        <w:p w:rsidR="005D6701" w:rsidRDefault="005D6701">
          <w:pPr>
            <w:pStyle w:val="Sommario1"/>
            <w:rPr>
              <w:rStyle w:val="Collegamentoipertestuale"/>
            </w:rPr>
          </w:pPr>
        </w:p>
        <w:p w:rsidR="005D6701" w:rsidRPr="005D6701" w:rsidRDefault="005D6701">
          <w:pPr>
            <w:pStyle w:val="Sommario1"/>
            <w:rPr>
              <w:rFonts w:eastAsiaTheme="minorEastAsia"/>
              <w:b/>
              <w:lang w:val="it-IT" w:eastAsia="it-IT"/>
            </w:rPr>
          </w:pPr>
          <w:hyperlink w:anchor="_Toc151759458" w:history="1">
            <w:r w:rsidRPr="005D6701">
              <w:rPr>
                <w:rStyle w:val="Collegamentoipertestuale"/>
                <w:b/>
              </w:rPr>
              <w:t>SDG 15.1 what get by MBGC ?</w:t>
            </w:r>
            <w:r w:rsidRPr="005D6701">
              <w:rPr>
                <w:b/>
                <w:webHidden/>
              </w:rPr>
              <w:tab/>
            </w:r>
            <w:r w:rsidRPr="005D6701">
              <w:rPr>
                <w:b/>
                <w:webHidden/>
              </w:rPr>
              <w:fldChar w:fldCharType="begin"/>
            </w:r>
            <w:r w:rsidRPr="005D6701">
              <w:rPr>
                <w:b/>
                <w:webHidden/>
              </w:rPr>
              <w:instrText xml:space="preserve"> PAGEREF _Toc151759458 \h </w:instrText>
            </w:r>
            <w:r w:rsidRPr="005D6701">
              <w:rPr>
                <w:b/>
                <w:webHidden/>
              </w:rPr>
            </w:r>
            <w:r w:rsidRPr="005D6701">
              <w:rPr>
                <w:b/>
                <w:webHidden/>
              </w:rPr>
              <w:fldChar w:fldCharType="separate"/>
            </w:r>
            <w:r w:rsidRPr="005D6701">
              <w:rPr>
                <w:b/>
                <w:webHidden/>
              </w:rPr>
              <w:t>79</w:t>
            </w:r>
            <w:r w:rsidRPr="005D6701">
              <w:rPr>
                <w:b/>
                <w:webHidden/>
              </w:rPr>
              <w:fldChar w:fldCharType="end"/>
            </w:r>
          </w:hyperlink>
        </w:p>
        <w:p w:rsidR="005D6701" w:rsidRPr="005D6701" w:rsidRDefault="005D6701">
          <w:pPr>
            <w:pStyle w:val="Sommario1"/>
            <w:rPr>
              <w:rFonts w:eastAsiaTheme="minorEastAsia"/>
              <w:b/>
              <w:lang w:val="it-IT" w:eastAsia="it-IT"/>
            </w:rPr>
          </w:pPr>
          <w:hyperlink w:anchor="_Toc151759459" w:history="1">
            <w:r w:rsidRPr="005D6701">
              <w:rPr>
                <w:rStyle w:val="Collegamentoipertestuale"/>
                <w:b/>
              </w:rPr>
              <w:t>(Mini Bio Gas Continuous)</w:t>
            </w:r>
            <w:r w:rsidRPr="005D6701">
              <w:rPr>
                <w:b/>
                <w:webHidden/>
              </w:rPr>
              <w:tab/>
            </w:r>
            <w:r w:rsidRPr="005D6701">
              <w:rPr>
                <w:b/>
                <w:webHidden/>
              </w:rPr>
              <w:fldChar w:fldCharType="begin"/>
            </w:r>
            <w:r w:rsidRPr="005D6701">
              <w:rPr>
                <w:b/>
                <w:webHidden/>
              </w:rPr>
              <w:instrText xml:space="preserve"> PAGEREF _Toc151759459 \h </w:instrText>
            </w:r>
            <w:r w:rsidRPr="005D6701">
              <w:rPr>
                <w:b/>
                <w:webHidden/>
              </w:rPr>
            </w:r>
            <w:r w:rsidRPr="005D6701">
              <w:rPr>
                <w:b/>
                <w:webHidden/>
              </w:rPr>
              <w:fldChar w:fldCharType="separate"/>
            </w:r>
            <w:r w:rsidRPr="005D6701">
              <w:rPr>
                <w:b/>
                <w:webHidden/>
              </w:rPr>
              <w:t>79</w:t>
            </w:r>
            <w:r w:rsidRPr="005D6701">
              <w:rPr>
                <w:b/>
                <w:webHidden/>
              </w:rPr>
              <w:fldChar w:fldCharType="end"/>
            </w:r>
          </w:hyperlink>
        </w:p>
        <w:p w:rsidR="005D6701" w:rsidRDefault="005D6701">
          <w:pPr>
            <w:pStyle w:val="Sommario1"/>
            <w:rPr>
              <w:rFonts w:eastAsiaTheme="minorEastAsia"/>
              <w:lang w:val="it-IT" w:eastAsia="it-IT"/>
            </w:rPr>
          </w:pPr>
          <w:hyperlink w:anchor="_Toc151759460" w:history="1">
            <w:r w:rsidRPr="0005483A">
              <w:rPr>
                <w:rStyle w:val="Collegamentoipertestuale"/>
              </w:rPr>
              <w:t>Overview:</w:t>
            </w:r>
            <w:r>
              <w:rPr>
                <w:webHidden/>
              </w:rPr>
              <w:tab/>
            </w:r>
            <w:r>
              <w:rPr>
                <w:webHidden/>
              </w:rPr>
              <w:fldChar w:fldCharType="begin"/>
            </w:r>
            <w:r>
              <w:rPr>
                <w:webHidden/>
              </w:rPr>
              <w:instrText xml:space="preserve"> PAGEREF _Toc151759460 \h </w:instrText>
            </w:r>
            <w:r>
              <w:rPr>
                <w:webHidden/>
              </w:rPr>
            </w:r>
            <w:r>
              <w:rPr>
                <w:webHidden/>
              </w:rPr>
              <w:fldChar w:fldCharType="separate"/>
            </w:r>
            <w:r>
              <w:rPr>
                <w:webHidden/>
              </w:rPr>
              <w:t>79</w:t>
            </w:r>
            <w:r>
              <w:rPr>
                <w:webHidden/>
              </w:rPr>
              <w:fldChar w:fldCharType="end"/>
            </w:r>
          </w:hyperlink>
        </w:p>
        <w:p w:rsidR="005D6701" w:rsidRDefault="005D6701">
          <w:pPr>
            <w:pStyle w:val="Sommario1"/>
            <w:rPr>
              <w:rFonts w:eastAsiaTheme="minorEastAsia"/>
              <w:lang w:val="it-IT" w:eastAsia="it-IT"/>
            </w:rPr>
          </w:pPr>
          <w:hyperlink w:anchor="_Toc151759461" w:history="1">
            <w:r w:rsidRPr="0005483A">
              <w:rPr>
                <w:rStyle w:val="Collegamentoipertestuale"/>
              </w:rPr>
              <w:t>Comprehending MBGC and SDG 15.1</w:t>
            </w:r>
            <w:r>
              <w:rPr>
                <w:webHidden/>
              </w:rPr>
              <w:tab/>
            </w:r>
            <w:r>
              <w:rPr>
                <w:webHidden/>
              </w:rPr>
              <w:fldChar w:fldCharType="begin"/>
            </w:r>
            <w:r>
              <w:rPr>
                <w:webHidden/>
              </w:rPr>
              <w:instrText xml:space="preserve"> PAGEREF _Toc151759461 \h </w:instrText>
            </w:r>
            <w:r>
              <w:rPr>
                <w:webHidden/>
              </w:rPr>
            </w:r>
            <w:r>
              <w:rPr>
                <w:webHidden/>
              </w:rPr>
              <w:fldChar w:fldCharType="separate"/>
            </w:r>
            <w:r>
              <w:rPr>
                <w:webHidden/>
              </w:rPr>
              <w:t>90</w:t>
            </w:r>
            <w:r>
              <w:rPr>
                <w:webHidden/>
              </w:rPr>
              <w:fldChar w:fldCharType="end"/>
            </w:r>
          </w:hyperlink>
        </w:p>
        <w:p w:rsidR="005D6701" w:rsidRDefault="005D6701">
          <w:pPr>
            <w:pStyle w:val="Sommario1"/>
            <w:rPr>
              <w:rFonts w:eastAsiaTheme="minorEastAsia"/>
              <w:lang w:val="it-IT" w:eastAsia="it-IT"/>
            </w:rPr>
          </w:pPr>
          <w:hyperlink w:anchor="_Toc151759462" w:history="1">
            <w:r w:rsidRPr="0005483A">
              <w:rPr>
                <w:rStyle w:val="Collegamentoipertestuale"/>
              </w:rPr>
              <w:t>In-Depth Explanation of Sustainable Land Management</w:t>
            </w:r>
            <w:r>
              <w:rPr>
                <w:webHidden/>
              </w:rPr>
              <w:tab/>
            </w:r>
            <w:r>
              <w:rPr>
                <w:webHidden/>
              </w:rPr>
              <w:fldChar w:fldCharType="begin"/>
            </w:r>
            <w:r>
              <w:rPr>
                <w:webHidden/>
              </w:rPr>
              <w:instrText xml:space="preserve"> PAGEREF _Toc151759462 \h </w:instrText>
            </w:r>
            <w:r>
              <w:rPr>
                <w:webHidden/>
              </w:rPr>
            </w:r>
            <w:r>
              <w:rPr>
                <w:webHidden/>
              </w:rPr>
              <w:fldChar w:fldCharType="separate"/>
            </w:r>
            <w:r>
              <w:rPr>
                <w:webHidden/>
              </w:rPr>
              <w:t>101</w:t>
            </w:r>
            <w:r>
              <w:rPr>
                <w:webHidden/>
              </w:rPr>
              <w:fldChar w:fldCharType="end"/>
            </w:r>
          </w:hyperlink>
        </w:p>
        <w:p w:rsidR="005D6701" w:rsidRDefault="005D6701">
          <w:pPr>
            <w:pStyle w:val="Sommario1"/>
            <w:rPr>
              <w:rFonts w:eastAsiaTheme="minorEastAsia"/>
              <w:lang w:val="it-IT" w:eastAsia="it-IT"/>
            </w:rPr>
          </w:pPr>
          <w:hyperlink w:anchor="_Toc151759463" w:history="1">
            <w:r w:rsidRPr="0005483A">
              <w:rPr>
                <w:rStyle w:val="Collegamentoipertestuale"/>
              </w:rPr>
              <w:t>In-depth analysis of the MBGC - Digester Patent and SDG15.1</w:t>
            </w:r>
            <w:r>
              <w:rPr>
                <w:webHidden/>
              </w:rPr>
              <w:tab/>
            </w:r>
            <w:r>
              <w:rPr>
                <w:webHidden/>
              </w:rPr>
              <w:fldChar w:fldCharType="begin"/>
            </w:r>
            <w:r>
              <w:rPr>
                <w:webHidden/>
              </w:rPr>
              <w:instrText xml:space="preserve"> PAGEREF _Toc151759463 \h </w:instrText>
            </w:r>
            <w:r>
              <w:rPr>
                <w:webHidden/>
              </w:rPr>
            </w:r>
            <w:r>
              <w:rPr>
                <w:webHidden/>
              </w:rPr>
              <w:fldChar w:fldCharType="separate"/>
            </w:r>
            <w:r>
              <w:rPr>
                <w:webHidden/>
              </w:rPr>
              <w:t>101</w:t>
            </w:r>
            <w:r>
              <w:rPr>
                <w:webHidden/>
              </w:rPr>
              <w:fldChar w:fldCharType="end"/>
            </w:r>
          </w:hyperlink>
        </w:p>
        <w:p w:rsidR="005D6701" w:rsidRDefault="005D6701">
          <w:pPr>
            <w:pStyle w:val="Sommario1"/>
            <w:rPr>
              <w:rFonts w:eastAsiaTheme="minorEastAsia"/>
              <w:lang w:val="it-IT" w:eastAsia="it-IT"/>
            </w:rPr>
          </w:pPr>
          <w:hyperlink w:anchor="_Toc151759464" w:history="1">
            <w:r w:rsidRPr="0005483A">
              <w:rPr>
                <w:rStyle w:val="Collegamentoipertestuale"/>
              </w:rPr>
              <w:t>Assessment by Comparing: Globally Managing Sustainable Land Objective 15.1: Evaluating National and International Practises</w:t>
            </w:r>
            <w:r>
              <w:rPr>
                <w:webHidden/>
              </w:rPr>
              <w:tab/>
            </w:r>
            <w:r>
              <w:rPr>
                <w:webHidden/>
              </w:rPr>
              <w:fldChar w:fldCharType="begin"/>
            </w:r>
            <w:r>
              <w:rPr>
                <w:webHidden/>
              </w:rPr>
              <w:instrText xml:space="preserve"> PAGEREF _Toc151759464 \h </w:instrText>
            </w:r>
            <w:r>
              <w:rPr>
                <w:webHidden/>
              </w:rPr>
            </w:r>
            <w:r>
              <w:rPr>
                <w:webHidden/>
              </w:rPr>
              <w:fldChar w:fldCharType="separate"/>
            </w:r>
            <w:r>
              <w:rPr>
                <w:webHidden/>
              </w:rPr>
              <w:t>108</w:t>
            </w:r>
            <w:r>
              <w:rPr>
                <w:webHidden/>
              </w:rPr>
              <w:fldChar w:fldCharType="end"/>
            </w:r>
          </w:hyperlink>
        </w:p>
        <w:p w:rsidR="005D6701" w:rsidRDefault="005D6701">
          <w:pPr>
            <w:pStyle w:val="Sommario1"/>
            <w:rPr>
              <w:rFonts w:eastAsiaTheme="minorEastAsia"/>
              <w:lang w:val="it-IT" w:eastAsia="it-IT"/>
            </w:rPr>
          </w:pPr>
          <w:hyperlink w:anchor="_Toc151759465" w:history="1">
            <w:r w:rsidRPr="0005483A">
              <w:rPr>
                <w:rStyle w:val="Collegamentoipertestuale"/>
              </w:rPr>
              <w:t>Unveiling Global Initiatives: A Comprehensive Exploration of Technology and Practices for Sustainable Land Management</w:t>
            </w:r>
            <w:r>
              <w:rPr>
                <w:webHidden/>
              </w:rPr>
              <w:tab/>
            </w:r>
            <w:r>
              <w:rPr>
                <w:webHidden/>
              </w:rPr>
              <w:fldChar w:fldCharType="begin"/>
            </w:r>
            <w:r>
              <w:rPr>
                <w:webHidden/>
              </w:rPr>
              <w:instrText xml:space="preserve"> PAGEREF _Toc151759465 \h </w:instrText>
            </w:r>
            <w:r>
              <w:rPr>
                <w:webHidden/>
              </w:rPr>
            </w:r>
            <w:r>
              <w:rPr>
                <w:webHidden/>
              </w:rPr>
              <w:fldChar w:fldCharType="separate"/>
            </w:r>
            <w:r>
              <w:rPr>
                <w:webHidden/>
              </w:rPr>
              <w:t>115</w:t>
            </w:r>
            <w:r>
              <w:rPr>
                <w:webHidden/>
              </w:rPr>
              <w:fldChar w:fldCharType="end"/>
            </w:r>
          </w:hyperlink>
        </w:p>
        <w:p w:rsidR="005D6701" w:rsidRDefault="005D6701">
          <w:pPr>
            <w:pStyle w:val="Sommario1"/>
            <w:rPr>
              <w:rFonts w:eastAsiaTheme="minorEastAsia"/>
              <w:lang w:val="it-IT" w:eastAsia="it-IT"/>
            </w:rPr>
          </w:pPr>
          <w:hyperlink w:anchor="_Toc151759466" w:history="1">
            <w:r w:rsidRPr="0005483A">
              <w:rPr>
                <w:rStyle w:val="Collegamentoipertestuale"/>
              </w:rPr>
              <w:t>Regulatory and Policy Aspects</w:t>
            </w:r>
            <w:r>
              <w:rPr>
                <w:webHidden/>
              </w:rPr>
              <w:tab/>
            </w:r>
            <w:r>
              <w:rPr>
                <w:webHidden/>
              </w:rPr>
              <w:fldChar w:fldCharType="begin"/>
            </w:r>
            <w:r>
              <w:rPr>
                <w:webHidden/>
              </w:rPr>
              <w:instrText xml:space="preserve"> PAGEREF _Toc151759466 \h </w:instrText>
            </w:r>
            <w:r>
              <w:rPr>
                <w:webHidden/>
              </w:rPr>
            </w:r>
            <w:r>
              <w:rPr>
                <w:webHidden/>
              </w:rPr>
              <w:fldChar w:fldCharType="separate"/>
            </w:r>
            <w:r>
              <w:rPr>
                <w:webHidden/>
              </w:rPr>
              <w:t>122</w:t>
            </w:r>
            <w:r>
              <w:rPr>
                <w:webHidden/>
              </w:rPr>
              <w:fldChar w:fldCharType="end"/>
            </w:r>
          </w:hyperlink>
        </w:p>
        <w:p w:rsidR="005D6701" w:rsidRDefault="005D6701">
          <w:pPr>
            <w:pStyle w:val="Sommario1"/>
            <w:rPr>
              <w:rFonts w:eastAsiaTheme="minorEastAsia"/>
              <w:lang w:val="it-IT" w:eastAsia="it-IT"/>
            </w:rPr>
          </w:pPr>
          <w:hyperlink w:anchor="_Toc151759467" w:history="1">
            <w:r w:rsidRPr="0005483A">
              <w:rPr>
                <w:rStyle w:val="Collegamentoipertestuale"/>
              </w:rPr>
              <w:t>Challenges, Research Gaps, and Benefits</w:t>
            </w:r>
            <w:r>
              <w:rPr>
                <w:webHidden/>
              </w:rPr>
              <w:tab/>
            </w:r>
            <w:r>
              <w:rPr>
                <w:webHidden/>
              </w:rPr>
              <w:fldChar w:fldCharType="begin"/>
            </w:r>
            <w:r>
              <w:rPr>
                <w:webHidden/>
              </w:rPr>
              <w:instrText xml:space="preserve"> PAGEREF _Toc151759467 \h </w:instrText>
            </w:r>
            <w:r>
              <w:rPr>
                <w:webHidden/>
              </w:rPr>
            </w:r>
            <w:r>
              <w:rPr>
                <w:webHidden/>
              </w:rPr>
              <w:fldChar w:fldCharType="separate"/>
            </w:r>
            <w:r>
              <w:rPr>
                <w:webHidden/>
              </w:rPr>
              <w:t>129</w:t>
            </w:r>
            <w:r>
              <w:rPr>
                <w:webHidden/>
              </w:rPr>
              <w:fldChar w:fldCharType="end"/>
            </w:r>
          </w:hyperlink>
        </w:p>
        <w:p w:rsidR="005D6701" w:rsidRDefault="005D6701">
          <w:pPr>
            <w:pStyle w:val="Sommario1"/>
            <w:rPr>
              <w:rFonts w:eastAsiaTheme="minorEastAsia"/>
              <w:lang w:val="it-IT" w:eastAsia="it-IT"/>
            </w:rPr>
          </w:pPr>
          <w:hyperlink w:anchor="_Toc151759468" w:history="1">
            <w:r w:rsidRPr="0005483A">
              <w:rPr>
                <w:rStyle w:val="Collegamentoipertestuale"/>
              </w:rPr>
              <w:t>Technological Frontiers: Pioneering the Future of Biodiversity Conservation</w:t>
            </w:r>
            <w:r>
              <w:rPr>
                <w:webHidden/>
              </w:rPr>
              <w:tab/>
            </w:r>
            <w:r>
              <w:rPr>
                <w:webHidden/>
              </w:rPr>
              <w:fldChar w:fldCharType="begin"/>
            </w:r>
            <w:r>
              <w:rPr>
                <w:webHidden/>
              </w:rPr>
              <w:instrText xml:space="preserve"> PAGEREF _Toc151759468 \h </w:instrText>
            </w:r>
            <w:r>
              <w:rPr>
                <w:webHidden/>
              </w:rPr>
            </w:r>
            <w:r>
              <w:rPr>
                <w:webHidden/>
              </w:rPr>
              <w:fldChar w:fldCharType="separate"/>
            </w:r>
            <w:r>
              <w:rPr>
                <w:webHidden/>
              </w:rPr>
              <w:t>129</w:t>
            </w:r>
            <w:r>
              <w:rPr>
                <w:webHidden/>
              </w:rPr>
              <w:fldChar w:fldCharType="end"/>
            </w:r>
          </w:hyperlink>
        </w:p>
        <w:p w:rsidR="005D6701" w:rsidRDefault="005D6701">
          <w:pPr>
            <w:pStyle w:val="Sommario2"/>
            <w:tabs>
              <w:tab w:val="right" w:leader="dot" w:pos="5659"/>
            </w:tabs>
            <w:rPr>
              <w:rStyle w:val="Collegamentoipertestuale"/>
              <w:noProof/>
            </w:rPr>
          </w:pPr>
        </w:p>
        <w:p w:rsidR="005D6701" w:rsidRDefault="005D6701">
          <w:pPr>
            <w:pStyle w:val="Sommario2"/>
            <w:tabs>
              <w:tab w:val="right" w:leader="dot" w:pos="5659"/>
            </w:tabs>
            <w:rPr>
              <w:rStyle w:val="Collegamentoipertestuale"/>
              <w:noProof/>
            </w:rPr>
          </w:pPr>
        </w:p>
        <w:p w:rsidR="005D6701" w:rsidRPr="005D6701" w:rsidRDefault="005D6701">
          <w:pPr>
            <w:pStyle w:val="Sommario2"/>
            <w:tabs>
              <w:tab w:val="right" w:leader="dot" w:pos="5659"/>
            </w:tabs>
            <w:rPr>
              <w:rFonts w:eastAsiaTheme="minorEastAsia"/>
              <w:b/>
              <w:noProof/>
              <w:lang w:eastAsia="it-IT"/>
            </w:rPr>
          </w:pPr>
          <w:hyperlink w:anchor="_Toc151759469" w:history="1">
            <w:r w:rsidRPr="005D6701">
              <w:rPr>
                <w:rStyle w:val="Collegamentoipertestuale"/>
                <w:b/>
                <w:noProof/>
                <w:lang w:val="en-US"/>
              </w:rPr>
              <w:t>J W T</w:t>
            </w:r>
            <w:r w:rsidRPr="005D6701">
              <w:rPr>
                <w:b/>
                <w:noProof/>
                <w:webHidden/>
              </w:rPr>
              <w:tab/>
            </w:r>
            <w:r w:rsidRPr="005D6701">
              <w:rPr>
                <w:b/>
                <w:noProof/>
                <w:webHidden/>
              </w:rPr>
              <w:fldChar w:fldCharType="begin"/>
            </w:r>
            <w:r w:rsidRPr="005D6701">
              <w:rPr>
                <w:b/>
                <w:noProof/>
                <w:webHidden/>
              </w:rPr>
              <w:instrText xml:space="preserve"> PAGEREF _Toc151759469 \h </w:instrText>
            </w:r>
            <w:r w:rsidRPr="005D6701">
              <w:rPr>
                <w:b/>
                <w:noProof/>
                <w:webHidden/>
              </w:rPr>
            </w:r>
            <w:r w:rsidRPr="005D6701">
              <w:rPr>
                <w:b/>
                <w:noProof/>
                <w:webHidden/>
              </w:rPr>
              <w:fldChar w:fldCharType="separate"/>
            </w:r>
            <w:r w:rsidRPr="005D6701">
              <w:rPr>
                <w:b/>
                <w:noProof/>
                <w:webHidden/>
              </w:rPr>
              <w:t>145</w:t>
            </w:r>
            <w:r w:rsidRPr="005D6701">
              <w:rPr>
                <w:b/>
                <w:noProof/>
                <w:webHidden/>
              </w:rPr>
              <w:fldChar w:fldCharType="end"/>
            </w:r>
          </w:hyperlink>
        </w:p>
        <w:p w:rsidR="005D6701" w:rsidRPr="005D6701" w:rsidRDefault="005D6701">
          <w:pPr>
            <w:pStyle w:val="Sommario1"/>
            <w:rPr>
              <w:rFonts w:eastAsiaTheme="minorEastAsia"/>
              <w:b/>
              <w:lang w:val="it-IT" w:eastAsia="it-IT"/>
            </w:rPr>
          </w:pPr>
          <w:hyperlink w:anchor="_Toc151759470" w:history="1">
            <w:r w:rsidRPr="005D6701">
              <w:rPr>
                <w:rStyle w:val="Collegamentoipertestuale"/>
                <w:b/>
              </w:rPr>
              <w:t>Bibliography/Conclusion</w:t>
            </w:r>
            <w:r w:rsidRPr="005D6701">
              <w:rPr>
                <w:b/>
                <w:webHidden/>
              </w:rPr>
              <w:tab/>
            </w:r>
            <w:r w:rsidRPr="005D6701">
              <w:rPr>
                <w:b/>
                <w:webHidden/>
              </w:rPr>
              <w:fldChar w:fldCharType="begin"/>
            </w:r>
            <w:r w:rsidRPr="005D6701">
              <w:rPr>
                <w:b/>
                <w:webHidden/>
              </w:rPr>
              <w:instrText xml:space="preserve"> PAGEREF _Toc151759470 \h </w:instrText>
            </w:r>
            <w:r w:rsidRPr="005D6701">
              <w:rPr>
                <w:b/>
                <w:webHidden/>
              </w:rPr>
            </w:r>
            <w:r w:rsidRPr="005D6701">
              <w:rPr>
                <w:b/>
                <w:webHidden/>
              </w:rPr>
              <w:fldChar w:fldCharType="separate"/>
            </w:r>
            <w:r w:rsidRPr="005D6701">
              <w:rPr>
                <w:b/>
                <w:webHidden/>
              </w:rPr>
              <w:t>145</w:t>
            </w:r>
            <w:r w:rsidRPr="005D6701">
              <w:rPr>
                <w:b/>
                <w:webHidden/>
              </w:rPr>
              <w:fldChar w:fldCharType="end"/>
            </w:r>
          </w:hyperlink>
        </w:p>
        <w:p w:rsidR="005D6701" w:rsidRDefault="005D6701">
          <w:pPr>
            <w:pStyle w:val="Sommario1"/>
            <w:rPr>
              <w:rFonts w:eastAsiaTheme="minorEastAsia"/>
              <w:lang w:val="it-IT" w:eastAsia="it-IT"/>
            </w:rPr>
          </w:pPr>
          <w:hyperlink w:anchor="_Toc151759471" w:history="1">
            <w:r w:rsidRPr="0005483A">
              <w:rPr>
                <w:rStyle w:val="Collegamentoipertestuale"/>
              </w:rPr>
              <w:t>Digester from MBGC (source) :</w:t>
            </w:r>
            <w:r>
              <w:rPr>
                <w:webHidden/>
              </w:rPr>
              <w:tab/>
            </w:r>
            <w:r>
              <w:rPr>
                <w:webHidden/>
              </w:rPr>
              <w:fldChar w:fldCharType="begin"/>
            </w:r>
            <w:r>
              <w:rPr>
                <w:webHidden/>
              </w:rPr>
              <w:instrText xml:space="preserve"> PAGEREF _Toc151759471 \h </w:instrText>
            </w:r>
            <w:r>
              <w:rPr>
                <w:webHidden/>
              </w:rPr>
            </w:r>
            <w:r>
              <w:rPr>
                <w:webHidden/>
              </w:rPr>
              <w:fldChar w:fldCharType="separate"/>
            </w:r>
            <w:r>
              <w:rPr>
                <w:webHidden/>
              </w:rPr>
              <w:t>146</w:t>
            </w:r>
            <w:r>
              <w:rPr>
                <w:webHidden/>
              </w:rPr>
              <w:fldChar w:fldCharType="end"/>
            </w:r>
          </w:hyperlink>
        </w:p>
        <w:p w:rsidR="005D6701" w:rsidRDefault="005D6701">
          <w:pPr>
            <w:pStyle w:val="Sommario1"/>
            <w:rPr>
              <w:rFonts w:eastAsiaTheme="minorEastAsia"/>
              <w:lang w:val="it-IT" w:eastAsia="it-IT"/>
            </w:rPr>
          </w:pPr>
          <w:hyperlink w:anchor="_Toc151759472" w:history="1">
            <w:r w:rsidRPr="0005483A">
              <w:rPr>
                <w:rStyle w:val="Collegamentoipertestuale"/>
              </w:rPr>
              <w:t>Summary – Applications (to SDGs)</w:t>
            </w:r>
            <w:r>
              <w:rPr>
                <w:webHidden/>
              </w:rPr>
              <w:tab/>
            </w:r>
            <w:r>
              <w:rPr>
                <w:webHidden/>
              </w:rPr>
              <w:fldChar w:fldCharType="begin"/>
            </w:r>
            <w:r>
              <w:rPr>
                <w:webHidden/>
              </w:rPr>
              <w:instrText xml:space="preserve"> PAGEREF _Toc151759472 \h </w:instrText>
            </w:r>
            <w:r>
              <w:rPr>
                <w:webHidden/>
              </w:rPr>
            </w:r>
            <w:r>
              <w:rPr>
                <w:webHidden/>
              </w:rPr>
              <w:fldChar w:fldCharType="separate"/>
            </w:r>
            <w:r>
              <w:rPr>
                <w:webHidden/>
              </w:rPr>
              <w:t>148</w:t>
            </w:r>
            <w:r>
              <w:rPr>
                <w:webHidden/>
              </w:rPr>
              <w:fldChar w:fldCharType="end"/>
            </w:r>
          </w:hyperlink>
        </w:p>
        <w:p w:rsidR="005D6701" w:rsidRDefault="005D6701">
          <w:pPr>
            <w:pStyle w:val="Sommario1"/>
            <w:rPr>
              <w:rFonts w:eastAsiaTheme="minorEastAsia"/>
              <w:lang w:val="it-IT" w:eastAsia="it-IT"/>
            </w:rPr>
          </w:pPr>
          <w:hyperlink w:anchor="_Toc151759473" w:history="1">
            <w:r w:rsidRPr="0005483A">
              <w:rPr>
                <w:rStyle w:val="Collegamentoipertestuale"/>
              </w:rPr>
              <w:t>IASR  International Application Status Report</w:t>
            </w:r>
            <w:r>
              <w:rPr>
                <w:webHidden/>
              </w:rPr>
              <w:tab/>
            </w:r>
            <w:r>
              <w:rPr>
                <w:webHidden/>
              </w:rPr>
              <w:fldChar w:fldCharType="begin"/>
            </w:r>
            <w:r>
              <w:rPr>
                <w:webHidden/>
              </w:rPr>
              <w:instrText xml:space="preserve"> PAGEREF _Toc151759473 \h </w:instrText>
            </w:r>
            <w:r>
              <w:rPr>
                <w:webHidden/>
              </w:rPr>
            </w:r>
            <w:r>
              <w:rPr>
                <w:webHidden/>
              </w:rPr>
              <w:fldChar w:fldCharType="separate"/>
            </w:r>
            <w:r>
              <w:rPr>
                <w:webHidden/>
              </w:rPr>
              <w:t>154</w:t>
            </w:r>
            <w:r>
              <w:rPr>
                <w:webHidden/>
              </w:rPr>
              <w:fldChar w:fldCharType="end"/>
            </w:r>
          </w:hyperlink>
        </w:p>
        <w:p w:rsidR="00DA0B4B" w:rsidRPr="00E40853" w:rsidRDefault="00FB3048" w:rsidP="00DA0B4B">
          <w:pPr>
            <w:jc w:val="both"/>
            <w:rPr>
              <w:rFonts w:ascii="Times New Roman" w:hAnsi="Times New Roman" w:cs="Times New Roman"/>
              <w:sz w:val="24"/>
              <w:szCs w:val="24"/>
            </w:rPr>
          </w:pPr>
          <w:r w:rsidRPr="00E40853">
            <w:rPr>
              <w:rFonts w:ascii="Times New Roman" w:hAnsi="Times New Roman" w:cs="Times New Roman"/>
              <w:sz w:val="24"/>
              <w:szCs w:val="24"/>
            </w:rPr>
            <w:lastRenderedPageBreak/>
            <w:fldChar w:fldCharType="end"/>
          </w:r>
        </w:p>
      </w:sdtContent>
    </w:sdt>
    <w:p w:rsidR="00DA0B4B" w:rsidRDefault="00DA0B4B" w:rsidP="00DA0B4B">
      <w:pPr>
        <w:rPr>
          <w:rFonts w:ascii="Times New Roman" w:hAnsi="Times New Roman" w:cs="Times New Roman"/>
          <w:sz w:val="24"/>
          <w:szCs w:val="24"/>
        </w:rPr>
      </w:pPr>
      <w:r>
        <w:rPr>
          <w:rFonts w:ascii="Times New Roman" w:hAnsi="Times New Roman" w:cs="Times New Roman"/>
          <w:sz w:val="24"/>
          <w:szCs w:val="24"/>
        </w:rPr>
        <w:br w:type="page"/>
      </w:r>
    </w:p>
    <w:p w:rsidR="00081F51" w:rsidRPr="00081F51" w:rsidRDefault="00081F51" w:rsidP="00081F51">
      <w:pPr>
        <w:pStyle w:val="Titolo1"/>
        <w:jc w:val="right"/>
        <w:rPr>
          <w:sz w:val="40"/>
          <w:szCs w:val="40"/>
          <w:lang w:val="en-US"/>
        </w:rPr>
      </w:pPr>
      <w:bookmarkStart w:id="0" w:name="_Toc151759438"/>
      <w:r w:rsidRPr="00081F51">
        <w:rPr>
          <w:sz w:val="40"/>
          <w:szCs w:val="40"/>
          <w:lang w:val="en-US"/>
        </w:rPr>
        <w:lastRenderedPageBreak/>
        <w:t>From Crisis to Triumph:</w:t>
      </w:r>
      <w:bookmarkEnd w:id="0"/>
      <w:r w:rsidRPr="00081F51">
        <w:rPr>
          <w:sz w:val="40"/>
          <w:szCs w:val="40"/>
          <w:lang w:val="en-US"/>
        </w:rPr>
        <w:t xml:space="preserve"> </w:t>
      </w:r>
    </w:p>
    <w:p w:rsidR="00081F51" w:rsidRPr="00081F51" w:rsidRDefault="00081F51" w:rsidP="00081F51">
      <w:pPr>
        <w:pStyle w:val="Titolo1"/>
        <w:jc w:val="right"/>
        <w:rPr>
          <w:sz w:val="40"/>
          <w:szCs w:val="40"/>
          <w:lang w:val="en-US"/>
        </w:rPr>
      </w:pPr>
      <w:bookmarkStart w:id="1" w:name="_Toc151759439"/>
      <w:r w:rsidRPr="00081F51">
        <w:rPr>
          <w:sz w:val="40"/>
          <w:szCs w:val="40"/>
          <w:lang w:val="en-US"/>
        </w:rPr>
        <w:t>Mirai Biome's Green Revolution</w:t>
      </w:r>
      <w:bookmarkEnd w:id="1"/>
    </w:p>
    <w:p w:rsidR="00270F5F" w:rsidRPr="00270F5F" w:rsidRDefault="00270F5F" w:rsidP="00270F5F">
      <w:pPr>
        <w:rPr>
          <w:lang w:val="en-US"/>
        </w:rPr>
      </w:pPr>
    </w:p>
    <w:p w:rsidR="00FA4F8B" w:rsidRPr="00C51A45" w:rsidRDefault="00FA4F8B" w:rsidP="00270F5F">
      <w:pPr>
        <w:pStyle w:val="Titolo1"/>
        <w:rPr>
          <w:lang w:val="en-US"/>
        </w:rPr>
      </w:pPr>
      <w:bookmarkStart w:id="2" w:name="_Toc151759440"/>
      <w:r w:rsidRPr="00C51A45">
        <w:rPr>
          <w:lang w:val="en-US"/>
        </w:rPr>
        <w:t>Introduction</w:t>
      </w:r>
      <w:bookmarkEnd w:id="2"/>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Tucked away on the alluring beaches of Japan's archipelago, the charming village of Mirai Biome Green Community (MBGC) becomes the evocative setting for an engaging story intricately linked to the shared will to accomplish Sustainable Development Goal 15.1. In the calm backdrop of calm waters, hardy fisherman from MBGC set out on their daily activities, led by the soft rays of dawn and the soothing tones of a far-off Shinto prayer.</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This vibrant town, surrounded by cherry blossoms and the calming sounds of the sea, is a live example of how innovation and tradition are harmoniously woven together in Japan's rich cultural tapestry. The core of SDG 15.1 is pulsating through MBGC, where lively laughter reverberates through busy marketplaces. This town's citizens work tirelessly to guarantee that every home has access to clean, healthy water, as well as innovative </w:t>
      </w:r>
      <w:r w:rsidRPr="00C51A45">
        <w:rPr>
          <w:rFonts w:ascii="Times New Roman" w:hAnsi="Times New Roman" w:cs="Times New Roman"/>
          <w:sz w:val="24"/>
          <w:szCs w:val="24"/>
          <w:lang w:val="en-US"/>
        </w:rPr>
        <w:lastRenderedPageBreak/>
        <w:t>methods for harvesting it and a strong feeling of community.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 would like to present to you Target X, a group that is passionate about making sure that by 2030, every person in Japan, regardless of background, has access to sustainable land management techniques. It goes beyond environmental conservation to promote a deep feeling of community, light the spark of empowerment, and offer doors to a wide range of career opportunities.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Gazing upon the charming alleys of MBGC, a transformation takes place right before your eyes. All ages of men and women work together harmoniously to execute sustainable land management techniques with precision, as well as to build strong, connected communities. Children no longer bear the weight of long walks in search of water; instead, they embrace their inalienable right to a sustainable environment and look forward to a brighter future.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Join us for this interesting tour of MBGC, where Japan's unyielding energy and unlimited goals blend with the urgent need for sustainable land management. Collectively, they craft a story of harmony, progress, and a mutual dedication to a sustainable future for this idyllic coastal location as well as the country it represents. This narrative honors the transformative potential of </w:t>
      </w:r>
      <w:r w:rsidRPr="00C51A45">
        <w:rPr>
          <w:rFonts w:ascii="Times New Roman" w:hAnsi="Times New Roman" w:cs="Times New Roman"/>
          <w:sz w:val="24"/>
          <w:szCs w:val="24"/>
          <w:lang w:val="en-US"/>
        </w:rPr>
        <w:lastRenderedPageBreak/>
        <w:t>communities by demonstrating their amazing capacity to bring audacious concepts to life while promoting harmony in the service of a common objective.</w:t>
      </w:r>
    </w:p>
    <w:p w:rsidR="00270F5F" w:rsidRDefault="00270F5F">
      <w:pPr>
        <w:rPr>
          <w:rFonts w:ascii="Times New Roman" w:eastAsiaTheme="majorEastAsia" w:hAnsi="Times New Roman" w:cstheme="majorBidi"/>
          <w:b/>
          <w:bCs/>
          <w:color w:val="365F91" w:themeColor="accent1" w:themeShade="BF"/>
          <w:sz w:val="28"/>
          <w:szCs w:val="28"/>
          <w:lang w:val="en-US"/>
        </w:rPr>
      </w:pPr>
      <w:r>
        <w:rPr>
          <w:lang w:val="en-US"/>
        </w:rPr>
        <w:br w:type="page"/>
      </w:r>
    </w:p>
    <w:p w:rsidR="00FA4F8B" w:rsidRPr="00C51A45" w:rsidRDefault="00FA4F8B" w:rsidP="00270F5F">
      <w:pPr>
        <w:pStyle w:val="Titolo1"/>
        <w:rPr>
          <w:lang w:val="en-US"/>
        </w:rPr>
      </w:pPr>
      <w:bookmarkStart w:id="3" w:name="_Toc151759441"/>
      <w:r w:rsidRPr="00C51A45">
        <w:rPr>
          <w:lang w:val="en-US"/>
        </w:rPr>
        <w:lastRenderedPageBreak/>
        <w:t>Characters</w:t>
      </w:r>
      <w:bookmarkEnd w:id="3"/>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b/>
          <w:sz w:val="24"/>
          <w:szCs w:val="24"/>
          <w:lang w:val="en-US"/>
        </w:rPr>
        <w:t>Yuki, the Community's Soul:</w:t>
      </w:r>
      <w:r w:rsidRPr="00C51A45">
        <w:rPr>
          <w:rFonts w:ascii="Times New Roman" w:hAnsi="Times New Roman" w:cs="Times New Roman"/>
          <w:sz w:val="24"/>
          <w:szCs w:val="24"/>
          <w:lang w:val="en-US"/>
        </w:rPr>
        <w:t xml:space="preserve"> Profoundly devoted to her community, Yuki is a kind leader at the front of the push to provide access to sustainable land management.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b/>
          <w:sz w:val="24"/>
          <w:szCs w:val="24"/>
          <w:lang w:val="en-US"/>
        </w:rPr>
        <w:t>Hiroshi the Artisan:</w:t>
      </w:r>
      <w:r w:rsidRPr="00C51A45">
        <w:rPr>
          <w:rFonts w:ascii="Times New Roman" w:hAnsi="Times New Roman" w:cs="Times New Roman"/>
          <w:sz w:val="24"/>
          <w:szCs w:val="24"/>
          <w:lang w:val="en-US"/>
        </w:rPr>
        <w:t xml:space="preserve"> A master carpenter who is proud to continue his family's legacy of traditional Japanese woodworking, Hiroshi anticipates environmentally responsible land management techniques that complement the town's charming surroundings.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b/>
          <w:sz w:val="24"/>
          <w:szCs w:val="24"/>
          <w:lang w:val="en-US"/>
        </w:rPr>
        <w:t>Sensei Kaede, the Guiding Teacher:</w:t>
      </w:r>
      <w:r w:rsidRPr="00C51A45">
        <w:rPr>
          <w:rFonts w:ascii="Times New Roman" w:hAnsi="Times New Roman" w:cs="Times New Roman"/>
          <w:sz w:val="24"/>
          <w:szCs w:val="24"/>
          <w:lang w:val="en-US"/>
        </w:rPr>
        <w:t xml:space="preserve"> An enthusiastic teacher who is certain that education holds the key to a better future, she became an enthusiastic supporter of MBGC's land sustainability effort after seeing firsthand the positive impacts that sustainable land management has on the welfare of her students.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b/>
          <w:sz w:val="24"/>
          <w:szCs w:val="24"/>
          <w:lang w:val="en-US"/>
        </w:rPr>
        <w:t>The Earth Guardian, Takashi:</w:t>
      </w:r>
      <w:r w:rsidRPr="00C51A45">
        <w:rPr>
          <w:rFonts w:ascii="Times New Roman" w:hAnsi="Times New Roman" w:cs="Times New Roman"/>
          <w:sz w:val="24"/>
          <w:szCs w:val="24"/>
          <w:lang w:val="en-US"/>
        </w:rPr>
        <w:t xml:space="preserve"> Takashi is familiar with the complex dance that exists between human activities and the environment because he comes from a long line of farmers who are incredibly rooted in the soil. A well-liked member of the community, he is essential to maintaining the harmony between local ecology and sustainable land management.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b/>
          <w:sz w:val="24"/>
          <w:szCs w:val="24"/>
          <w:lang w:val="en-US"/>
        </w:rPr>
        <w:t>The Environmental Advocate, Aiko:</w:t>
      </w:r>
      <w:r w:rsidRPr="00C51A45">
        <w:rPr>
          <w:rFonts w:ascii="Times New Roman" w:hAnsi="Times New Roman" w:cs="Times New Roman"/>
          <w:sz w:val="24"/>
          <w:szCs w:val="24"/>
          <w:lang w:val="en-US"/>
        </w:rPr>
        <w:t xml:space="preserve"> After studying environmental science in Tokyo, Aiko returned to MBGC </w:t>
      </w:r>
      <w:r w:rsidRPr="00C51A45">
        <w:rPr>
          <w:rFonts w:ascii="Times New Roman" w:hAnsi="Times New Roman" w:cs="Times New Roman"/>
          <w:sz w:val="24"/>
          <w:szCs w:val="24"/>
          <w:lang w:val="en-US"/>
        </w:rPr>
        <w:lastRenderedPageBreak/>
        <w:t>with the goal of protecting her nation's natural beauty. She is an accomplished environmentalist with a plethora of information. Aiko offers local initiatives a complete perspective by virtue of her sophisticated awareness of sustainable practises and her network within the environmental community.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b/>
          <w:sz w:val="24"/>
          <w:szCs w:val="24"/>
          <w:lang w:val="en-US"/>
        </w:rPr>
        <w:t>Haruka, the Visionary Young One:</w:t>
      </w:r>
      <w:r w:rsidRPr="00C51A45">
        <w:rPr>
          <w:rFonts w:ascii="Times New Roman" w:hAnsi="Times New Roman" w:cs="Times New Roman"/>
          <w:sz w:val="24"/>
          <w:szCs w:val="24"/>
          <w:lang w:val="en-US"/>
        </w:rPr>
        <w:t xml:space="preserve"> A vibrant and forward-thinking young leader, she exudes enthusiasm for MBGC and has a clear vision for the future. Engaging in multiple youth-led initiatives, Haruka is adamant that the next generation's energy and dedication are the only ways to attain SDG 15.1. Her capacity to motivate her peers makes her a powerful force for change.</w:t>
      </w:r>
    </w:p>
    <w:p w:rsidR="00270F5F" w:rsidRDefault="00270F5F">
      <w:pPr>
        <w:rPr>
          <w:rFonts w:ascii="Times New Roman" w:eastAsiaTheme="majorEastAsia" w:hAnsi="Times New Roman" w:cstheme="majorBidi"/>
          <w:b/>
          <w:bCs/>
          <w:color w:val="365F91" w:themeColor="accent1" w:themeShade="BF"/>
          <w:sz w:val="28"/>
          <w:szCs w:val="28"/>
          <w:lang w:val="en-US"/>
        </w:rPr>
      </w:pPr>
      <w:r>
        <w:rPr>
          <w:lang w:val="en-US"/>
        </w:rPr>
        <w:br w:type="page"/>
      </w:r>
    </w:p>
    <w:p w:rsidR="00FA4F8B" w:rsidRPr="00C51A45" w:rsidRDefault="00FA4F8B" w:rsidP="00270F5F">
      <w:pPr>
        <w:pStyle w:val="Titolo1"/>
        <w:rPr>
          <w:lang w:val="en-US"/>
        </w:rPr>
      </w:pPr>
      <w:bookmarkStart w:id="4" w:name="_Toc151759442"/>
      <w:r w:rsidRPr="00C51A45">
        <w:rPr>
          <w:lang w:val="en-US"/>
        </w:rPr>
        <w:lastRenderedPageBreak/>
        <w:t>Story</w:t>
      </w:r>
      <w:bookmarkEnd w:id="4"/>
    </w:p>
    <w:p w:rsidR="00270F5F" w:rsidRDefault="00270F5F"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Within the tranquil embrace of Mirai Biome Green Community (MBGC) a story takes shape in which aquatic and land life come together to perform a magnificent dance. A refreshing and peaceful ambiance is created by the sea air that is fragrant with cherry blossoms. A tribute to the community's deep respect for the environment is the town's blend of traditional and modern architectural styles.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Beneath the canvas of pounding seas and sandy beaches, the rhythms of life echo the heartbeat of MBGC. The mangrove roots entwined in a lively communal tapestry, and seagulls soar across the air. Hikaru and his fellow farmers work the land that feeds them in an age-old ballet with the ground, stewards of ancient customs.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This seaside sanctuary is filled with the sounds of many voices singing together; the lively market, laughter, and a variety of accents all add to the vibrant tapestry of life. Beneath the ancient sakura trees, the market is decked with colourful fruits, fresh veggies, and handmade goods from the area. Youngsters frolic by the water's edge, their laughter entwined with the elders' stories.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Residents of MBGC come together with a common goal for a sustainable future as the sun sets. Characters such as </w:t>
      </w:r>
      <w:r w:rsidRPr="00C51A45">
        <w:rPr>
          <w:rFonts w:ascii="Times New Roman" w:hAnsi="Times New Roman" w:cs="Times New Roman"/>
          <w:sz w:val="24"/>
          <w:szCs w:val="24"/>
          <w:lang w:val="en-US"/>
        </w:rPr>
        <w:lastRenderedPageBreak/>
        <w:t>Takashi, Aiko, Haruka, Sensei Kaede, Hiroshi, and Yuki become the threads of a tapestry that represents tenacity, inventiveness, and unflinching hope.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As a committed leader in the community, Yuki notices the increasing gap in access to sustainable land management. Gathering a varied group, among them the skilled carpenter Hiroshi, they use the wealth of nature to create symbols of progress and hope.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Through her presentations and efforts, Sensei Kaede, an eco-friendly practises advocate, instills in the youth a sense of responsibility and empowers them to become ambassadors for sustainability in their communities and families.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By imparting ancient knowledge, Takashi, the Earth Guardian, makes sure that land preservation respects the fragile ecological balance. He takes the lead in putting green practises into effect and balancing sustainable land management with the local ecology.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As an environmentalist who studied in Tokyo, Aiko uses her contacts and skills to improve sustainability and land accessibility, turning MBGC into a model coastal community on a worldwide scale.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The youthful, visionary leader Haruka inspires the zeal and commitment of the following generation, propelling efforts towards the accomplishment of SDG 15.1. Together, the characters collaborate while bringing their distinct skills and viewpoints to the table.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As MBGC becomes a global model, difficulties appear. The once peaceful relationship between the land and the sea is under jeopardy due to rising sea levels and climate change jeopardising freshwater resources. Contaminated wells threaten the survival of the community.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Lia, Hiroshi, Lani, and Bayu—four new characters—come forward to defend the neighborhood. The salinity resistance of water collecting apparatus is improved by Hiroshi's inventive ideas. Ismail offers traditional techniques to preserve the fragile natural equilibrium, while Lani presents cutting-edge conservation strategies.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Sensei Kaede oversees a dual enrollment program that informs the public about the value of safeguarding land resources and the risks associated with environmental imbalance.The community must band together and become more determined as it confronts issues caused by environmental imbalance.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Notwithstanding the challenges, the characters deal with problems, carry out directives, and protect the land supply </w:t>
      </w:r>
      <w:r w:rsidRPr="00C51A45">
        <w:rPr>
          <w:rFonts w:ascii="Times New Roman" w:hAnsi="Times New Roman" w:cs="Times New Roman"/>
          <w:sz w:val="24"/>
          <w:szCs w:val="24"/>
          <w:lang w:val="en-US"/>
        </w:rPr>
        <w:lastRenderedPageBreak/>
        <w:t>of MBGC. Setbacks fortify their determination, and MBGC emerges as a shining example of tenacity in the face of difficulty.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tale of Mirai Biome Green Community is ultimately one of group perseverance, compassion, and unwavering dedication. It demonstrates that when a community pulls together in the face of hardship, a sustainable future is achievable.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However, there is an unmentioned issue pertaining to the handling of organic waste in this inspirational story. Because of its passion for the environment, MBGC understands that organic waste from residential, commercial, industrial, and territorial sources requires a holistic strategy.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Yuki leads the community's efforts to handle organic waste effectively as it moves closer to sustainability. Master carpenter Hiroshi cleverly creates composting structures out of repurposed materials, converting trash into useful resources for the farming industry.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As part of her dedication to teaching, Sensei Kaede presents programmes that inform the public about the significance of disposing of waste properly. Earth Guardian Takashi highlights the ancient wisdom of composting, making sure that organic waste contributes to </w:t>
      </w:r>
      <w:r w:rsidRPr="00C51A45">
        <w:rPr>
          <w:rFonts w:ascii="Times New Roman" w:hAnsi="Times New Roman" w:cs="Times New Roman"/>
          <w:sz w:val="24"/>
          <w:szCs w:val="24"/>
          <w:lang w:val="en-US"/>
        </w:rPr>
        <w:lastRenderedPageBreak/>
        <w:t>the delicate ecological balance rather than detracting from it.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environmental activist Aiko uses her expertise of Tokyo to put cutting-edge garbage processing technologies into practise. The visionary Haruka encourages young people to get involved in waste reduction initiatives so that future generations can live in a sustainable environment.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MBGC characters take on the obstacles of waste management head-on, despite their challenges. By working together to create recycling facilities, Lia, Hiroshi, Lani, and Bayu convert industrial waste into raw materials for regional inventions and crafts.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As MBGC overcomes obstacles related to trash management, the neighborhood emerges as a model of how efficient recycling and waste reduction improve the environment as a whole.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Not only is Mirai Biome Green Community a shining example of resiliency, but its journey also serves as a reminder of how critical it is to eliminate organic waste if we are to have a sustainable and successful future.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residents of MBGC celebrate not just the achievement of SDG 15.1 but also their victory over the challenges of </w:t>
      </w:r>
      <w:r w:rsidRPr="00C51A45">
        <w:rPr>
          <w:rFonts w:ascii="Times New Roman" w:hAnsi="Times New Roman" w:cs="Times New Roman"/>
          <w:sz w:val="24"/>
          <w:szCs w:val="24"/>
          <w:lang w:val="en-US"/>
        </w:rPr>
        <w:lastRenderedPageBreak/>
        <w:t>waste management in the glow of the setting sun over their beach resort. Their narrative serves as an inspirational example for communities across the globe, demonstrating that a sustainable future is achievable with creativity, tenacity, and creative waste management techniques.</w:t>
      </w:r>
    </w:p>
    <w:p w:rsidR="00081F51" w:rsidRPr="00F31E89" w:rsidRDefault="00081F51">
      <w:pPr>
        <w:rPr>
          <w:rFonts w:ascii="Times New Roman" w:eastAsiaTheme="majorEastAsia" w:hAnsi="Times New Roman" w:cstheme="majorBidi"/>
          <w:b/>
          <w:bCs/>
          <w:color w:val="365F91" w:themeColor="accent1" w:themeShade="BF"/>
          <w:sz w:val="28"/>
          <w:szCs w:val="24"/>
          <w:lang w:val="en-US"/>
        </w:rPr>
      </w:pPr>
      <w:r w:rsidRPr="00F31E89">
        <w:rPr>
          <w:szCs w:val="24"/>
          <w:lang w:val="en-US"/>
        </w:rPr>
        <w:br w:type="page"/>
      </w:r>
    </w:p>
    <w:p w:rsidR="00FA4F8B" w:rsidRPr="00F31E89" w:rsidRDefault="00FA4F8B" w:rsidP="00081F51">
      <w:pPr>
        <w:pStyle w:val="Titolo1"/>
        <w:rPr>
          <w:szCs w:val="24"/>
          <w:lang w:val="en-US"/>
        </w:rPr>
      </w:pPr>
      <w:bookmarkStart w:id="5" w:name="_Toc151759443"/>
      <w:r w:rsidRPr="00F31E89">
        <w:rPr>
          <w:szCs w:val="24"/>
          <w:lang w:val="en-US"/>
        </w:rPr>
        <w:lastRenderedPageBreak/>
        <w:t>JWT Green Patent Appeal</w:t>
      </w:r>
      <w:bookmarkEnd w:id="5"/>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We invite you to reflect on the meaningful message of Mirai Biome Green Community (MBGC) as its vibrant narrative unfolds. It is a tale of hope, camaraderie, and the seemingly limitless opportunities that present themselves when individuals come together to support sustainable land management.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Japan, known for its breathtaking scenery and rich cultural heritage, is poised to enter a new chapter in environmental care. The personalities of MBGC demonstrate that sustainable land management is a route rather than merely an objective, as evidenced by their unwavering commitment to Sustainable Development Goal 15.1.</w:t>
      </w:r>
    </w:p>
    <w:p w:rsidR="00FA4F8B" w:rsidRPr="00C51A45" w:rsidRDefault="00FA4F8B" w:rsidP="00270F5F">
      <w:pPr>
        <w:pStyle w:val="Titolo1"/>
        <w:rPr>
          <w:lang w:val="en-US"/>
        </w:rPr>
      </w:pPr>
      <w:bookmarkStart w:id="6" w:name="_Toc151759444"/>
      <w:r w:rsidRPr="00C51A45">
        <w:rPr>
          <w:lang w:val="en-US"/>
        </w:rPr>
        <w:t>Word of Encouragement</w:t>
      </w:r>
      <w:bookmarkEnd w:id="6"/>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These characters serve as a central theme in the story, highlighting the power of cooperation and a common goal. Their efforts to preserve, revitalize, and advance sustainable land use are indicative of the goals shared by communities throughout Japan.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Let this tale serve as a beacon to direct us towards moral behaviour that strikes a balance between human activity and the fragile balance of nature. Whether it's through cutting-edge technologies, educational programs, or the </w:t>
      </w:r>
      <w:r w:rsidRPr="00C51A45">
        <w:rPr>
          <w:rFonts w:ascii="Times New Roman" w:hAnsi="Times New Roman" w:cs="Times New Roman"/>
          <w:sz w:val="24"/>
          <w:szCs w:val="24"/>
          <w:lang w:val="en-US"/>
        </w:rPr>
        <w:lastRenderedPageBreak/>
        <w:t>preservation of conventional wisdom, each of us has a part to play.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Allow the spirit of MBGC to reverberate throughout you as you read this story. With open hearts and focused minds, embrace the demand for sustainable land management. Recall that hope is what propels revolutionary change and that our greatest power in the face of hardship is our solidarity.</w:t>
      </w: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270F5F" w:rsidRDefault="00270F5F" w:rsidP="00270F5F">
      <w:pPr>
        <w:pStyle w:val="Titolo1"/>
        <w:rPr>
          <w:lang w:val="en-US"/>
        </w:rPr>
      </w:pPr>
      <w:r>
        <w:rPr>
          <w:lang w:val="en-US"/>
        </w:rPr>
        <w:br w:type="page"/>
      </w:r>
      <w:bookmarkStart w:id="7" w:name="_Toc151759445"/>
      <w:r w:rsidR="00FA4F8B" w:rsidRPr="00C51A45">
        <w:rPr>
          <w:lang w:val="en-US"/>
        </w:rPr>
        <w:lastRenderedPageBreak/>
        <w:t>Benefits After Implementing Sustainable Land Management in Japan</w:t>
      </w:r>
      <w:bookmarkEnd w:id="7"/>
    </w:p>
    <w:p w:rsidR="00270F5F" w:rsidRDefault="00270F5F" w:rsidP="00C51A45">
      <w:pPr>
        <w:jc w:val="both"/>
        <w:rPr>
          <w:rFonts w:ascii="Times New Roman" w:hAnsi="Times New Roman" w:cs="Times New Roman"/>
          <w:b/>
          <w:sz w:val="24"/>
          <w:szCs w:val="24"/>
          <w:u w:val="single"/>
          <w:lang w:val="en-US"/>
        </w:rPr>
      </w:pPr>
    </w:p>
    <w:p w:rsidR="00FA4F8B" w:rsidRPr="00C51A45" w:rsidRDefault="00FA4F8B" w:rsidP="00270F5F">
      <w:pPr>
        <w:pStyle w:val="Titolo1"/>
        <w:rPr>
          <w:lang w:val="en-US"/>
        </w:rPr>
      </w:pPr>
      <w:bookmarkStart w:id="8" w:name="_Toc151759446"/>
      <w:r w:rsidRPr="00C51A45">
        <w:rPr>
          <w:lang w:val="en-US"/>
        </w:rPr>
        <w:t>Environmental Renaissance: MBGC and SDG 15.1 for a Bright Future for Japan</w:t>
      </w:r>
      <w:bookmarkEnd w:id="8"/>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adoption of Sustainable Development Goal 15.1 in the Mirai Biome Green Community (MBGC) represents a significant advancement in Japan's environmental balance. The Environmental Impact Assessment (EIA) weaves together the goals of SDG 15.1, providing a striking picture of transformation in which formerly difficult landscapes now stand as monuments to the effectiveness of sustainable land management.</w:t>
      </w:r>
    </w:p>
    <w:p w:rsidR="00270F5F" w:rsidRDefault="00270F5F" w:rsidP="00C51A45">
      <w:pPr>
        <w:jc w:val="both"/>
        <w:rPr>
          <w:rFonts w:ascii="Times New Roman" w:hAnsi="Times New Roman" w:cs="Times New Roman"/>
          <w:b/>
          <w:sz w:val="24"/>
          <w:szCs w:val="24"/>
          <w:lang w:val="en-US"/>
        </w:rPr>
      </w:pPr>
    </w:p>
    <w:p w:rsidR="00FA4F8B" w:rsidRPr="00C51A45" w:rsidRDefault="00FA4F8B" w:rsidP="00270F5F">
      <w:pPr>
        <w:pStyle w:val="Titolo1"/>
        <w:rPr>
          <w:lang w:val="en-US"/>
        </w:rPr>
      </w:pPr>
      <w:bookmarkStart w:id="9" w:name="_Toc151759447"/>
      <w:r w:rsidRPr="00C51A45">
        <w:rPr>
          <w:lang w:val="en-US"/>
        </w:rPr>
        <w:t>Thriving ecosystems: the foundation of a successful environment</w:t>
      </w:r>
      <w:bookmarkEnd w:id="9"/>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thriving ecosystems that have developed since Mini Bio Gas Continuous (MBGC) was implemented are at the centre of this environmental success story, and they perfectly correspond with the goals of SDG 15.1. The introduction of MBGC has brought about a delicate </w:t>
      </w:r>
      <w:r w:rsidRPr="00C51A45">
        <w:rPr>
          <w:rFonts w:ascii="Times New Roman" w:hAnsi="Times New Roman" w:cs="Times New Roman"/>
          <w:sz w:val="24"/>
          <w:szCs w:val="24"/>
          <w:lang w:val="en-US"/>
        </w:rPr>
        <w:lastRenderedPageBreak/>
        <w:t>balance in Japan's ecosystems, which is a noteworthy achievement in the field of environmental conservation. Two particularly striking examples of nature's renaissance are the entrancing beauty of cherry blossoms and the presence of the secretive Japanese macaque. These indicate the comeback of biodiversity.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revitalization of ecosystems has been greatly aided by the implementation of MBGC, which places a strong emphasis on continuous and sustainable biogas production. The system's continuous and compact design guarantees a consistent flow of bio-gas, reducing its negative effects on the environment and optimizing energy production.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Since native plants and animals have reclaimed their habitats, the once-diminished landscapes are now teeming with life. The famous cherry blossoms, which are known for their transient beauty, are now more than simply a passing sight. They now stand as strong representations of nature's comeback, creating an amazing spectacle throughout the restored landscapes.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shy Japanese macaque is visible at the centre of these flourishing ecosystems. These clever monkeys, who before faced difficulties as a result of habitat destruction, now have new environments to explore and flourish in. Their recovery is evidence of the beneficial effects of </w:t>
      </w:r>
      <w:r w:rsidRPr="00C51A45">
        <w:rPr>
          <w:rFonts w:ascii="Times New Roman" w:hAnsi="Times New Roman" w:cs="Times New Roman"/>
          <w:sz w:val="24"/>
          <w:szCs w:val="24"/>
          <w:lang w:val="en-US"/>
        </w:rPr>
        <w:lastRenderedPageBreak/>
        <w:t>MBGC on biodiversity and the complex balance that exists throughout the ecosystems.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success of MBGC reaches far beyond the apparent resurgence of nature, to the complex web of interconnections among species. The revival of pollinators, such as bees and butterflies, has catalyzed a chain reaction, benefiting not only the flora but also the entire ecosystem. This ripple effect underscores the interconnectedness of species and emphasizes the pivotal role of MBGC in fostering a holistic and sustainable environment.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Safe Freshwater Resources: An Uninterruptible Lifeline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One major achievement, according to the Environmental Impact Assessment, is the protection of freshwater resources. Freshwater ecosystems have recovered as a result of MBGC's dedication to sustainable land management, guaranteeing a steady and secure water supply. This accomplishment not only satisfies SDG 15.1's goals but also offers hope to areas facing a shortage of water. Japan's commitment to environmental stewardship has created a model for the rest of the world, turning possible disasters into success stories.</w:t>
      </w:r>
    </w:p>
    <w:p w:rsidR="00FA4F8B" w:rsidRPr="00C51A45" w:rsidRDefault="00FA4F8B" w:rsidP="00081F51">
      <w:pPr>
        <w:pStyle w:val="Titolo1"/>
        <w:rPr>
          <w:lang w:val="en-US"/>
        </w:rPr>
      </w:pPr>
      <w:bookmarkStart w:id="10" w:name="_Toc151759448"/>
      <w:r w:rsidRPr="00C51A45">
        <w:rPr>
          <w:lang w:val="en-US"/>
        </w:rPr>
        <w:lastRenderedPageBreak/>
        <w:t>Coastal Rejuvenation: Exceeding Expectations in Every Way</w:t>
      </w:r>
      <w:bookmarkEnd w:id="10"/>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Coastal regions, which were formerly threatened by environmental imbalance, have recovered more than anticipated. Coastal ecosystems have become more robust and lively as a result of the MBGC practices integration with SDG 15.1's tenets.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meticulous equilibrium achieved by sustainable land management has not only restored marine habitats but also strengthened coastal regions against the effects of climate change, demonstrating the extensive consequences of Japan's dedication to environmental sustainability.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Environmental Impact Assessment essentially attests to the Mirai Biome Green Community's transformational potential and its compliance with SDG 15.1. Once in danger, Japan's landscapes are now a living example of how sustainable land management can lead to an environmental renaissance and promote peaceful cohabitation between humans and the natural world.</w:t>
      </w:r>
    </w:p>
    <w:p w:rsidR="00081F51" w:rsidRDefault="00081F51">
      <w:pPr>
        <w:rPr>
          <w:rFonts w:ascii="Times New Roman" w:eastAsiaTheme="majorEastAsia" w:hAnsi="Times New Roman" w:cstheme="majorBidi"/>
          <w:b/>
          <w:bCs/>
          <w:color w:val="365F91" w:themeColor="accent1" w:themeShade="BF"/>
          <w:sz w:val="28"/>
          <w:szCs w:val="28"/>
          <w:lang w:val="en-US"/>
        </w:rPr>
      </w:pPr>
      <w:r>
        <w:rPr>
          <w:lang w:val="en-US"/>
        </w:rPr>
        <w:br w:type="page"/>
      </w:r>
    </w:p>
    <w:p w:rsidR="00FA4F8B" w:rsidRPr="00C51A45" w:rsidRDefault="00FA4F8B" w:rsidP="00081F51">
      <w:pPr>
        <w:pStyle w:val="Titolo1"/>
        <w:rPr>
          <w:lang w:val="en-US"/>
        </w:rPr>
      </w:pPr>
      <w:bookmarkStart w:id="11" w:name="_Toc151759449"/>
      <w:r w:rsidRPr="00C51A45">
        <w:rPr>
          <w:lang w:val="en-US"/>
        </w:rPr>
        <w:lastRenderedPageBreak/>
        <w:t>Economic Benefits of Adopting Sustainable Land Management Practices</w:t>
      </w:r>
      <w:bookmarkEnd w:id="11"/>
    </w:p>
    <w:p w:rsidR="00081F51" w:rsidRDefault="00081F51" w:rsidP="00C51A45">
      <w:pPr>
        <w:jc w:val="both"/>
        <w:rPr>
          <w:rFonts w:ascii="Times New Roman" w:hAnsi="Times New Roman" w:cs="Times New Roman"/>
          <w:b/>
          <w:sz w:val="24"/>
          <w:szCs w:val="24"/>
          <w:lang w:val="en-US"/>
        </w:rPr>
      </w:pP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Various Income Sources: Mutually Beneficial Success in Mirai Biome Green Community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In line with the goals of SDG 15.1, the application of sustainable land management techniques in Mirai Biome Green Community (MBGC) has revived the ecosystem and fostered a variety of income streams.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Ecotourism: Protecting the Environment, Making Money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 noteworthy result of sustainable land management in MBGC is the thriving eco-tourism industry. The beautiful landscapes, vibrant ecosystems, and peaceful coexistence of sustainable human practises with nature enthral visitors. Eco-aware tourists are drawn to the area by its dedication to protecting biodiversity and enacting eco-friendly policies. Local establishments including lodging, dining, and tour companies profit from the flood of tourists.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Customary Artisanry as a Cultural Resource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Symbolic of traditional craftsmanship, Hiroshi's woodworking has become a sought-after item. In addition </w:t>
      </w:r>
      <w:r w:rsidRPr="00C51A45">
        <w:rPr>
          <w:rFonts w:ascii="Times New Roman" w:hAnsi="Times New Roman" w:cs="Times New Roman"/>
          <w:sz w:val="24"/>
          <w:szCs w:val="24"/>
          <w:lang w:val="en-US"/>
        </w:rPr>
        <w:lastRenderedPageBreak/>
        <w:t>to preserving traditional skills, the community's commitment to sustainable land management techniques has elevated them into priceless cultural assets. Locally made wooden goods that draw inspiration from the abundant natural environment are becoming more and more well-liked by both locals and tourists. The desire for these genuine works of art supports a sustainable way of life that is entwined with environmental preservation, adding to the region's economic prosperity as well as its cultural legacy.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Community Cohesion: Financial and Cultural Benefits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adoption of sustainable land management techniques has established a mutually beneficial relationship between economic growth and environmental health. The money received from eco-tourism and traditional handicrafts is put back into the community, promoting a sense of shared responsibility and supporting neighborhood projects. This interdependence serves as an example of the close relationship between MBGC's financial performance and the sustainable practises that serve as the cornerstone of SDG 15.1. The revenue streams raise awareness of the value of protecting biodiversity and caring for the land for future generations in addition to enhancing the community's economic well-being. By demonstrating the peaceful coexistence of economic development and </w:t>
      </w:r>
      <w:r w:rsidRPr="00C51A45">
        <w:rPr>
          <w:rFonts w:ascii="Times New Roman" w:hAnsi="Times New Roman" w:cs="Times New Roman"/>
          <w:sz w:val="24"/>
          <w:szCs w:val="24"/>
          <w:lang w:val="en-US"/>
        </w:rPr>
        <w:lastRenderedPageBreak/>
        <w:t>environmental management, Mirai Biome Green Community establishes a sustainable example that other areas might follow.</w:t>
      </w: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Reducing Waste and Saving Money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implementation of sustainable land management practises in Mirai Biome Green Community (MBGC) has ushered in a revolutionary period characterized by significant cost savings and an impressive reduction in waste. One particularly noteworthy example is Hiroshi's creative anti-saline defences for water-harvesting systems, which exemplify the community's dedication to sustainable solutions in line with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Creative Anti-Saline Defences: An Affordable Barrier</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Saline intrusion into freshwater supplies is a major problem that many coastal cities must deal with, and Hiroshi has solved it with his ground-breaking invention. Conventional approaches frequently include high infrastructure and maintenance expenses, adding to the financial strain on communities already facing environmental risks. On the other hand, Hiroshi's anti-saline defences offer an affordable fix.</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Maintaining Freshwater Resources: A Twofold Benefit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In addition to offering an affordable option, anti-saline defences are essential for protecting freshwater resources. Climate change increases the likelihood of salt incursion, especially in coastal regions, yet MBGC's creative solution acts as a buffer. This reduces the need for expensive desalination procedures or infrastructure repairs brought on by saline damage, in addition to guaranteeing the community's access to a sustainable and safe supply of freshwater.</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Reducing Environmental Effects: Going Beyond Saving Money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Beyond only saving money, Hiroshi's invention is significant. By selecting locally sourced and sustainable resources, the community lessens its environmental impact. This is in line with SDG 15.1, which has more general objectives and emphasizes sustainable land management techniques that strike a balance between environmental preservation and human needs. The anti-saline defences are an example of how human activity and the natural world may coexist peacefully, demonstrating how well-considered, community-driven solutions can concurrently solve economic and environmental problems.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Community-Based Waste Management: An All-Inclusive Strategy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In addition to the particular invention, waste reduction is facilitated by MBGC's wider embrace of sustainable land management techniques. The community's dedication to using environmentally friendly building supplies and methods reduces the amount of garbage produced during development. This all-encompassing strategy is consistent with SDG 15.1, which emphasizes minimizing the adverse environmental effects of land use and management.</w:t>
      </w:r>
    </w:p>
    <w:p w:rsidR="00FA4F8B" w:rsidRPr="00C51A45" w:rsidRDefault="00FA4F8B" w:rsidP="00270F5F">
      <w:pPr>
        <w:pStyle w:val="Titolo1"/>
        <w:rPr>
          <w:lang w:val="en-US"/>
        </w:rPr>
      </w:pPr>
      <w:bookmarkStart w:id="12" w:name="_Toc151759450"/>
      <w:r w:rsidRPr="00C51A45">
        <w:rPr>
          <w:lang w:val="en-US"/>
        </w:rPr>
        <w:t>Japan's Sustainable Land Management Expertise: Market Potential and Industry Integration</w:t>
      </w:r>
      <w:bookmarkEnd w:id="12"/>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Japan's steadfast dedication to Sustainable Development Goal 15.1 (SDG 15.1) has changed the country's environmental landscape and established it as a leader in sustainable land management. This dedication has created a domino effect that has opened up significant business opportunities and encouraged the adoption of sustainable practises by a range of industries. Cutting-edge technologies—such as those made possible by the JWT Green Patent—are essential to advancing the industry's transition to more environmentally conscious practises.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Japan's Trailblazing Position in Ecological Land Management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Japan is now seen as a global pioneer in sustainable land management thanks to its proactive approach to SDG 15.1. International acclaim has been accorded to the country's comprehensive measures, which include afforestation programs, biodiversity protection projects, and state-of-the-art technologies. Japan has become known as a role model for creative and successful approaches to environmental sustainability as a result of the attention this leadership has received from investors, businesses, and partners around the globe.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Getting Partnerships and Investments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prosperous land management endeavours in Japan have yielded a favourable investment environment. International and domestic investors are becoming more interested in opportunities that are in line with SDG 15.1. Ensuring environmentally friendly practises is a commitment to long-term sustainability and coincides with ethical investment values. Interactions between the public and commercial sectors, enabled by Japan's strong regulatory environment, have significantly advanced the adoption of sustainable practises across a range of industries.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Realizing Market Possibilities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Japan has created new markets for environmentally friendly goods and services by emphasizing sustainable land management. The need for ecologically friendly solutions has given companies the chance to be creative and serve a market niche that is expanding. Green building materials and eco-tourism businesses are examples of thriving enterprises that follow SDG 15.1's ideals. In addition to being advantageous economically, this market expansion helps achieve the larger objective of creating a society that is more robust and sustainable.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Cutting-edge Technologies Advancing Industry Development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JWT Green Patent serves as an example of how the advent of novel technology has accelerated industry transformation. These cutting-edge technologies are reshaping a number of industries with their ability to maximize resource efficiency, reduce environmental impact, and encourage sustainable practises. Incorporating these technologies is not just a business obligation, but also a calculated decision that satisfies consumer demands for goods and services that are ecologically friendly.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Environmental Responsibility of Companies: A Revolution in Thinking</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Corporate environmental responsibility has undergone a paradigm shift as a result of Japan's transition to sustainable land management. Businesses are realizing more and more how important it is to integrate sustainable practises into their basic principles. A clear framework for enterprises to support global biodiversity conservation efforts and profit from improved market positioning and customer trust is provided by the alignment with SDG 15.1.</w:t>
      </w: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Jobs and Economic Development: Prosperous Prospects in MBGC's Sustainable Land Management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In addition to revitalizing the environment, Mirai Biome Green Community's (MBGC) success in putting sustainable land management strategies into practise has acted as a driver for job development and steady economic growth. With the help of people like Hiroshi and Sensei Kaede's educational programs, MBGC has developed into a thriving center for sustainable practises that support both new opportunities and the preservation of traditional livelihoods.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Maintaining Customary Employment via Handicraftsmanship</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synergistic relationship between ancient practises and sustainable land management is demonstrated by Hiroshi's </w:t>
      </w:r>
      <w:r w:rsidRPr="00C51A45">
        <w:rPr>
          <w:rFonts w:ascii="Times New Roman" w:hAnsi="Times New Roman" w:cs="Times New Roman"/>
          <w:sz w:val="24"/>
          <w:szCs w:val="24"/>
          <w:lang w:val="en-US"/>
        </w:rPr>
        <w:lastRenderedPageBreak/>
        <w:t>expert craftsmanship. By implementing environmentally friendly woodworking techniques and adhering to SDG 15.1, traditional Japanese craftsmanship has not only been preserved but has reached new heights. Traditional industries have been revitalized by the desire for ethically sourced and made items, giving artists like Hiroshi a platform to demonstrate their expertise.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Initiatives for Education and Skill Development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teaching efforts of Sensei Kaede have been essential in moulding the future of MBGC. These initiatives, which have focused on sustainable land management techniques, have increased community members' understanding and given them the tools they need to engage with and support the expanding sustainable economy. This educational component plays a critical role in developing a workforce that is devoted to and informed about environmental stewardship.</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Fresh Prospects and Enterprising</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Due to the accomplishments of MBGC's sustainable land management activities, the area around it is now a thriving center that draws creative people and encourages business. The emphasis on sustainable practises has given people the chance to investigate creative solutions, which has resulted in the establishment of new enterprises in the </w:t>
      </w:r>
      <w:r w:rsidRPr="00C51A45">
        <w:rPr>
          <w:rFonts w:ascii="Times New Roman" w:hAnsi="Times New Roman" w:cs="Times New Roman"/>
          <w:sz w:val="24"/>
          <w:szCs w:val="24"/>
          <w:lang w:val="en-US"/>
        </w:rPr>
        <w:lastRenderedPageBreak/>
        <w:t>neighborhood. Inspired by SDG 15.1, entrepreneurs are creating and executing sustainable business models that support MBGC's economic expansion.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Creating and Diversifying Jobs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Initiatives by MBGC have produced a variety of career opportunities in a number of industries. The community's job prospects have diversified, ranging from eco-tourism operations that leverage the pristine landscapes to firms that specialize in sustainable agriculture and locally produced eco-products. This diversification promotes a more robust and balanced local economy in addition to ensuring resilience in the face of financial difficulties.</w:t>
      </w:r>
    </w:p>
    <w:p w:rsidR="00FA4F8B" w:rsidRPr="00C51A45" w:rsidRDefault="00FA4F8B" w:rsidP="00270F5F">
      <w:pPr>
        <w:pStyle w:val="Titolo1"/>
        <w:rPr>
          <w:lang w:val="en-US"/>
        </w:rPr>
      </w:pPr>
      <w:bookmarkStart w:id="13" w:name="_Toc151759451"/>
      <w:r w:rsidRPr="00C51A45">
        <w:rPr>
          <w:lang w:val="en-US"/>
        </w:rPr>
        <w:t>MBGC Technology for Clean Energy and Environmental Sustainability Unlocking Opportunities</w:t>
      </w:r>
      <w:bookmarkEnd w:id="13"/>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advent of MBGC (Mini Bio Gas Continuous) technology signals a new era for experts, managers, and decision-makers in sectors related to clean energy and environmental sustainability in a time when these goals are of utmost importance. This innovative technology offers a plethora of advantages that not only address urgent environmental issues but also create opportunities for creativity, financial success, and a better future.</w:t>
      </w:r>
    </w:p>
    <w:p w:rsidR="00FA4F8B" w:rsidRPr="00C51A45" w:rsidRDefault="00FA4F8B" w:rsidP="00C51A45">
      <w:pPr>
        <w:pStyle w:val="Paragrafoelenco"/>
        <w:numPr>
          <w:ilvl w:val="0"/>
          <w:numId w:val="6"/>
        </w:numPr>
        <w:ind w:left="0"/>
        <w:jc w:val="both"/>
        <w:rPr>
          <w:rFonts w:ascii="Times New Roman" w:hAnsi="Times New Roman" w:cs="Times New Roman"/>
          <w:sz w:val="24"/>
          <w:szCs w:val="24"/>
        </w:rPr>
      </w:pPr>
      <w:r w:rsidRPr="00C51A45">
        <w:rPr>
          <w:rFonts w:ascii="Times New Roman" w:hAnsi="Times New Roman" w:cs="Times New Roman"/>
          <w:sz w:val="24"/>
          <w:szCs w:val="24"/>
        </w:rPr>
        <w:lastRenderedPageBreak/>
        <w:t>Promotion of Environmental Stewardship</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use of MBGC technology makes it easier to turn organic waste into useful resources, thereby decreasing its negative effects on the environment and promoting a more sustainable future.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Professionals and managers can proudly promote their businesses as being good stewards of the environment by coordinating their operations with international sustainability objectives.</w:t>
      </w:r>
    </w:p>
    <w:p w:rsidR="00FA4F8B" w:rsidRPr="00C51A45" w:rsidRDefault="00FA4F8B" w:rsidP="00C51A45">
      <w:pPr>
        <w:pStyle w:val="Paragrafoelenco"/>
        <w:numPr>
          <w:ilvl w:val="0"/>
          <w:numId w:val="6"/>
        </w:numPr>
        <w:ind w:left="0"/>
        <w:jc w:val="both"/>
        <w:rPr>
          <w:rFonts w:ascii="Times New Roman" w:hAnsi="Times New Roman" w:cs="Times New Roman"/>
          <w:sz w:val="24"/>
          <w:szCs w:val="24"/>
        </w:rPr>
      </w:pPr>
      <w:r w:rsidRPr="00C51A45">
        <w:rPr>
          <w:rFonts w:ascii="Times New Roman" w:hAnsi="Times New Roman" w:cs="Times New Roman"/>
          <w:sz w:val="24"/>
          <w:szCs w:val="24"/>
        </w:rPr>
        <w:t>Technological Innovation that Is Pioneering:</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Organizations that use MBGC technology are at the forefront of technical development. Leaders in the industry demonstrate their dedication to advancement and innovation by embracing and modifying this cutting-edge solution.</w:t>
      </w:r>
    </w:p>
    <w:p w:rsidR="00FA4F8B" w:rsidRPr="00C51A45" w:rsidRDefault="00FA4F8B" w:rsidP="00C51A45">
      <w:pPr>
        <w:pStyle w:val="Paragrafoelenco"/>
        <w:numPr>
          <w:ilvl w:val="0"/>
          <w:numId w:val="6"/>
        </w:numPr>
        <w:ind w:left="0"/>
        <w:jc w:val="both"/>
        <w:rPr>
          <w:rFonts w:ascii="Times New Roman" w:hAnsi="Times New Roman" w:cs="Times New Roman"/>
          <w:sz w:val="24"/>
          <w:szCs w:val="24"/>
        </w:rPr>
      </w:pPr>
      <w:r w:rsidRPr="00C51A45">
        <w:rPr>
          <w:rFonts w:ascii="Times New Roman" w:hAnsi="Times New Roman" w:cs="Times New Roman"/>
          <w:sz w:val="24"/>
          <w:szCs w:val="24"/>
        </w:rPr>
        <w:t>Increasing the variety of revenue sources: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extraction of priceless resources like methane, carbon dioxide, and NPK salts is made possible using MBGC technology. These can be sold or repurposed to generate new income streams and increase financial resiliency.</w:t>
      </w:r>
    </w:p>
    <w:p w:rsidR="00FA4F8B" w:rsidRPr="00C51A45" w:rsidRDefault="00FA4F8B" w:rsidP="00C51A45">
      <w:pPr>
        <w:pStyle w:val="Paragrafoelenco"/>
        <w:numPr>
          <w:ilvl w:val="0"/>
          <w:numId w:val="6"/>
        </w:numPr>
        <w:ind w:left="0"/>
        <w:jc w:val="both"/>
        <w:rPr>
          <w:rFonts w:ascii="Times New Roman" w:hAnsi="Times New Roman" w:cs="Times New Roman"/>
          <w:sz w:val="24"/>
          <w:szCs w:val="24"/>
        </w:rPr>
      </w:pPr>
      <w:r w:rsidRPr="00C51A45">
        <w:rPr>
          <w:rFonts w:ascii="Times New Roman" w:hAnsi="Times New Roman" w:cs="Times New Roman"/>
          <w:sz w:val="24"/>
          <w:szCs w:val="24"/>
        </w:rPr>
        <w:t>Effective Waste Management at Low Cost</w:t>
      </w:r>
    </w:p>
    <w:p w:rsidR="00FA4F8B" w:rsidRPr="00C51A45" w:rsidRDefault="00FA4F8B" w:rsidP="00C51A45">
      <w:pPr>
        <w:jc w:val="both"/>
        <w:rPr>
          <w:rFonts w:ascii="Times New Roman" w:hAnsi="Times New Roman" w:cs="Times New Roman"/>
          <w:sz w:val="24"/>
          <w:szCs w:val="24"/>
        </w:rPr>
      </w:pPr>
      <w:r w:rsidRPr="00C51A45">
        <w:rPr>
          <w:rFonts w:ascii="Times New Roman" w:hAnsi="Times New Roman" w:cs="Times New Roman"/>
          <w:sz w:val="24"/>
          <w:szCs w:val="24"/>
          <w:lang w:val="en-US"/>
        </w:rPr>
        <w:lastRenderedPageBreak/>
        <w:t xml:space="preserve">The MBGC technology provides experts and managers in charge of waste-intensive activities with an effective and affordable waste management solution. </w:t>
      </w:r>
      <w:r w:rsidRPr="00C51A45">
        <w:rPr>
          <w:rFonts w:ascii="Times New Roman" w:hAnsi="Times New Roman" w:cs="Times New Roman"/>
          <w:sz w:val="24"/>
          <w:szCs w:val="24"/>
        </w:rPr>
        <w:t>It maximizes resource recovery while reducing disposal expenses.</w:t>
      </w:r>
    </w:p>
    <w:p w:rsidR="00FA4F8B" w:rsidRPr="00C51A45" w:rsidRDefault="00FA4F8B" w:rsidP="00C51A45">
      <w:pPr>
        <w:pStyle w:val="Paragrafoelenco"/>
        <w:numPr>
          <w:ilvl w:val="0"/>
          <w:numId w:val="6"/>
        </w:numPr>
        <w:ind w:left="0"/>
        <w:jc w:val="both"/>
        <w:rPr>
          <w:rFonts w:ascii="Times New Roman" w:hAnsi="Times New Roman" w:cs="Times New Roman"/>
          <w:sz w:val="24"/>
          <w:szCs w:val="24"/>
        </w:rPr>
      </w:pPr>
      <w:r w:rsidRPr="00C51A45">
        <w:rPr>
          <w:rFonts w:ascii="Times New Roman" w:hAnsi="Times New Roman" w:cs="Times New Roman"/>
          <w:sz w:val="24"/>
          <w:szCs w:val="24"/>
        </w:rPr>
        <w:t>Compliance with regulations and risk mitigation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Industries prioritize staying ahead of changing environmental rules. Organizations that use MBGC technology exhibit a proactive approach to compliance, reducing any risks brought on by non-compliance.</w:t>
      </w:r>
    </w:p>
    <w:p w:rsidR="00FA4F8B" w:rsidRPr="00C51A45" w:rsidRDefault="00FA4F8B" w:rsidP="00C51A45">
      <w:pPr>
        <w:pStyle w:val="Paragrafoelenco"/>
        <w:numPr>
          <w:ilvl w:val="0"/>
          <w:numId w:val="6"/>
        </w:numPr>
        <w:ind w:left="0"/>
        <w:jc w:val="both"/>
        <w:rPr>
          <w:rFonts w:ascii="Times New Roman" w:hAnsi="Times New Roman" w:cs="Times New Roman"/>
          <w:sz w:val="24"/>
          <w:szCs w:val="24"/>
        </w:rPr>
      </w:pPr>
      <w:r w:rsidRPr="00C51A45">
        <w:rPr>
          <w:rFonts w:ascii="Times New Roman" w:hAnsi="Times New Roman" w:cs="Times New Roman"/>
          <w:sz w:val="24"/>
          <w:szCs w:val="24"/>
        </w:rPr>
        <w:t>Building up corporate social responsibility (CSR):</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Adopting MBGC technology supports and strengthens an organization's CSR initiatives. It demonstrates a dedication to sustainable practises, which is well received by stakeholders, clients, and the general public.</w:t>
      </w:r>
    </w:p>
    <w:p w:rsidR="00FA4F8B" w:rsidRPr="00C51A45" w:rsidRDefault="00FA4F8B" w:rsidP="00C51A45">
      <w:pPr>
        <w:pStyle w:val="Paragrafoelenco"/>
        <w:numPr>
          <w:ilvl w:val="0"/>
          <w:numId w:val="6"/>
        </w:numPr>
        <w:ind w:left="0"/>
        <w:jc w:val="both"/>
        <w:rPr>
          <w:rFonts w:ascii="Times New Roman" w:hAnsi="Times New Roman" w:cs="Times New Roman"/>
          <w:sz w:val="24"/>
          <w:szCs w:val="24"/>
        </w:rPr>
      </w:pPr>
      <w:r w:rsidRPr="00C51A45">
        <w:rPr>
          <w:rFonts w:ascii="Times New Roman" w:hAnsi="Times New Roman" w:cs="Times New Roman"/>
          <w:sz w:val="24"/>
          <w:szCs w:val="24"/>
        </w:rPr>
        <w:t>Building Resilience in a Changing Climate: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Organizations must protect their operations against environmental volatility as climate change accelerates. By lowering greenhouse gas emissions and conserving resources, MBGC technology increases adaptability to climate-related problems.</w:t>
      </w:r>
    </w:p>
    <w:p w:rsidR="00FA4F8B" w:rsidRPr="00C51A45" w:rsidRDefault="00FA4F8B" w:rsidP="00C51A45">
      <w:pPr>
        <w:pStyle w:val="Paragrafoelenco"/>
        <w:numPr>
          <w:ilvl w:val="0"/>
          <w:numId w:val="6"/>
        </w:numPr>
        <w:ind w:left="0"/>
        <w:jc w:val="both"/>
        <w:rPr>
          <w:rFonts w:ascii="Times New Roman" w:hAnsi="Times New Roman" w:cs="Times New Roman"/>
          <w:sz w:val="24"/>
          <w:szCs w:val="24"/>
        </w:rPr>
      </w:pPr>
      <w:r w:rsidRPr="00C51A45">
        <w:rPr>
          <w:rFonts w:ascii="Times New Roman" w:hAnsi="Times New Roman" w:cs="Times New Roman"/>
          <w:sz w:val="24"/>
          <w:szCs w:val="24"/>
        </w:rPr>
        <w:t xml:space="preserve"> Strengthening Market Differentiation and Competition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Businesses that invest in MBGC technology have an advantage over rivals in the marketplace. They stand out as progressive, environmentally conscientious businesses, possibly luring eco-aware clients and business partners.</w:t>
      </w:r>
    </w:p>
    <w:p w:rsidR="00FA4F8B" w:rsidRPr="00C51A45" w:rsidRDefault="00FA4F8B" w:rsidP="00C51A45">
      <w:pPr>
        <w:pStyle w:val="Paragrafoelenco"/>
        <w:numPr>
          <w:ilvl w:val="0"/>
          <w:numId w:val="6"/>
        </w:numPr>
        <w:ind w:left="0"/>
        <w:jc w:val="both"/>
        <w:rPr>
          <w:rFonts w:ascii="Times New Roman" w:hAnsi="Times New Roman" w:cs="Times New Roman"/>
          <w:sz w:val="24"/>
          <w:szCs w:val="24"/>
        </w:rPr>
      </w:pPr>
      <w:r w:rsidRPr="00C51A45">
        <w:rPr>
          <w:rFonts w:ascii="Times New Roman" w:hAnsi="Times New Roman" w:cs="Times New Roman"/>
          <w:sz w:val="24"/>
          <w:szCs w:val="24"/>
        </w:rPr>
        <w:t>Driving the development of knowledge and skills: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MBGC technology adoption needs personnel training and skill development. By increasing employee knowledge, this investment in human capital promotes a culture of learning and creativity within the company.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Drawing Talent and Establishing a Long-Term Community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Because of the community's successful sustainable land management activities, MBGC is now a sought-after location for talented individuals. MBGC attracts people who are passionate about environmental sustainability and want to have a positive impact in the community. This adds to the community's diversity of skills and knowledge. This talent inflow strengthens the community's general vibrancy and resilience, generating a constructive feedback loop for long-term, sustainable growth.</w:t>
      </w: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Ensuring Compliance and Reducing Risks through Preventive Environmental Management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Sustainable land management reduces the dangers brought on by ecological challenges and climate change while also guaranteeing compliance with environmental requirements. Because of its proactive response to environmental issues, MBGC is regarded as a resilient role model for other Japanese coastal cities. Through minimizing susceptibilities and augmenting enduring viability, the community exhibits the fiscal acumen that is intrinsic to ecological management.</w:t>
      </w: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Research and Development (R&amp;D) Investment: An Innovation Catalyst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Japan's investment in research and development has been stimulated by its commitment to SDG 15.1. Innovative approaches to addressing environmental concerns have been produced via partnerships between the public and private sectors, as well as academia. By maintaining this commitment, Japan will continue to lead the world in sustainable land management technology, which will have a positive knock-on effect for environmental stewardship worldwide.</w:t>
      </w:r>
    </w:p>
    <w:p w:rsidR="00FA4F8B" w:rsidRPr="00F31E89" w:rsidRDefault="00FA4F8B" w:rsidP="00081F51">
      <w:pPr>
        <w:pStyle w:val="Titolo1"/>
        <w:rPr>
          <w:szCs w:val="24"/>
          <w:lang w:val="en-US"/>
        </w:rPr>
      </w:pPr>
      <w:bookmarkStart w:id="14" w:name="_Toc151759452"/>
      <w:r w:rsidRPr="00F31E89">
        <w:rPr>
          <w:szCs w:val="24"/>
          <w:lang w:val="en-US"/>
        </w:rPr>
        <w:t>Conclusion</w:t>
      </w:r>
      <w:bookmarkEnd w:id="14"/>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story of the Mirai Biome Green Community (MBGC) is one of inspiration, illustrating the deep and transforming </w:t>
      </w:r>
      <w:r w:rsidRPr="00C51A45">
        <w:rPr>
          <w:rFonts w:ascii="Times New Roman" w:hAnsi="Times New Roman" w:cs="Times New Roman"/>
          <w:sz w:val="24"/>
          <w:szCs w:val="24"/>
          <w:lang w:val="en-US"/>
        </w:rPr>
        <w:lastRenderedPageBreak/>
        <w:t>advantages that result from the application of sustainable land management techniques that are in line with Japan's Sustainable Development Goal 15.1. The MBGC's peaceful coexistence of economic growth and environmental recovery is an example of the extraordinary power of neighborhood-based projects, providing the groundwork for a resilient and sustainable future.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Peaceful Coexistence of Economic Growth and Environmental Renewal</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achievement of MBGC serves as an example of how economic expansion and environmental restoration can coexist together.  Because of the community's dedication to responsible land management, which is based on SDG 15.1, ecosystems have flourished, biodiversity has returned, and a thriving and sustainable economy has been established. The careful balancing act struck between economic growth and environmental preservation serves as an example for other cities looking to follow in the footsteps of sustainable development.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The Changing Potential of Community-Led Projects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experience of MBGC serves as a testament to the transformative potential of community-driven projects. Through proactive community engagement, cultivation of environmental stewardship, and alignment of actions with </w:t>
      </w:r>
      <w:r w:rsidRPr="00C51A45">
        <w:rPr>
          <w:rFonts w:ascii="Times New Roman" w:hAnsi="Times New Roman" w:cs="Times New Roman"/>
          <w:sz w:val="24"/>
          <w:szCs w:val="24"/>
          <w:lang w:val="en-US"/>
        </w:rPr>
        <w:lastRenderedPageBreak/>
        <w:t>the overarching objectives of SDG 15.1, MBGC has emerged as a model community for how small communities may lead positive change. The community's combined efforts and common goal demonstrate how grassroots projects have the power to have significant and long-lasting effects on the environment and society.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Japan's Future: Resilient and Sustainable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As the tale of MBGC's triumphant growth unfolds, Japan stands out as a leader in the quest for a resilient and sustainable future. The knowledge gained from MBGC's experience is invaluable for other areas dealing with comparable difficulties. In addition to guaranteeing the welfare of its present population, Japan's dedication to sustainable land management creates the foundation for a legacy of sustainability that will last for many years.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Creating the Foundation for Ethical Land Management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Because of MBGC's success, people and countries around the world can be inspired to practise responsible land management, which not only benefits the environment but also can lead to prosperity. Japan's pledge to abide by SDG 15.1 establishes a standard for international collaboration in tackling the intertwined issues of </w:t>
      </w:r>
      <w:r w:rsidRPr="00C51A45">
        <w:rPr>
          <w:rFonts w:ascii="Times New Roman" w:hAnsi="Times New Roman" w:cs="Times New Roman"/>
          <w:sz w:val="24"/>
          <w:szCs w:val="24"/>
          <w:lang w:val="en-US"/>
        </w:rPr>
        <w:lastRenderedPageBreak/>
        <w:t>economic development, sustainable land use, and biodiversity conservation.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In summary, Mirai Biome Green Community's path embodies the transformative potential found in the thoughtful application of sustainable land management techniques. Future generations will benefit from responsible land management far beyond the confines of MBGC, creating a resilient and sustainable world. This can be attributed to the peaceful coexistence of environmental resurgence and economic prosperity, the empowering force of community-driven initiatives, and Japan's leadership in forging a sustainable path.</w:t>
      </w: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br w:type="page"/>
      </w: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081F51" w:rsidRDefault="00081F51">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081F51" w:rsidRDefault="00081F51">
      <w:pPr>
        <w:rPr>
          <w:rFonts w:ascii="Times New Roman" w:hAnsi="Times New Roman" w:cs="Times New Roman"/>
          <w:sz w:val="24"/>
          <w:szCs w:val="24"/>
          <w:lang w:val="en-US"/>
        </w:rPr>
      </w:pPr>
      <w:r>
        <w:rPr>
          <w:rFonts w:ascii="Times New Roman" w:hAnsi="Times New Roman" w:cs="Times New Roman"/>
          <w:sz w:val="24"/>
          <w:szCs w:val="24"/>
          <w:lang w:val="en-US"/>
        </w:rPr>
        <w:lastRenderedPageBreak/>
        <w:br w:type="page"/>
      </w:r>
    </w:p>
    <w:p w:rsidR="00081F51" w:rsidRPr="00081F51" w:rsidRDefault="00081F51" w:rsidP="00081F51">
      <w:pPr>
        <w:pStyle w:val="Titolo1"/>
        <w:jc w:val="right"/>
        <w:rPr>
          <w:sz w:val="48"/>
          <w:szCs w:val="48"/>
          <w:lang w:val="en-US"/>
        </w:rPr>
      </w:pPr>
      <w:bookmarkStart w:id="15" w:name="_Toc151759453"/>
      <w:r w:rsidRPr="00081F51">
        <w:rPr>
          <w:sz w:val="48"/>
          <w:szCs w:val="48"/>
          <w:lang w:val="en-US"/>
        </w:rPr>
        <w:lastRenderedPageBreak/>
        <w:t>Digester  to  SDG 15.1</w:t>
      </w:r>
      <w:bookmarkEnd w:id="15"/>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081F51">
      <w:pPr>
        <w:pStyle w:val="Titolo1"/>
        <w:rPr>
          <w:lang w:val="en-US"/>
        </w:rPr>
      </w:pPr>
      <w:bookmarkStart w:id="16" w:name="_Toc151759454"/>
      <w:r w:rsidRPr="00C51A45">
        <w:rPr>
          <w:lang w:val="en-US"/>
        </w:rPr>
        <w:t xml:space="preserve">The Sustainable Development Goals (SDGs): Target </w:t>
      </w:r>
      <w:r w:rsidR="00E44F86">
        <w:rPr>
          <w:lang w:val="en-US"/>
        </w:rPr>
        <w:t>1</w:t>
      </w:r>
      <w:r w:rsidRPr="00C51A45">
        <w:rPr>
          <w:lang w:val="en-US"/>
        </w:rPr>
        <w:t>: A Full Investigation Goal 15 and SDG 15.1</w:t>
      </w:r>
      <w:bookmarkEnd w:id="16"/>
      <w:r w:rsidRPr="00C51A45">
        <w:rPr>
          <w:lang w:val="en-US"/>
        </w:rPr>
        <w:t> </w:t>
      </w:r>
    </w:p>
    <w:p w:rsidR="00081F51" w:rsidRDefault="00081F51"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Examining Goal 15 and SDG 15.1: Preservation of Biodiversity as a Foundation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 prominent focus on living on land, Sustainable Development Goal 15 (SDG 15) occupies a central position in global sustainability programs. This challenging goal emphasizes how crucial it is to protect, restore, and use terrestrial ecosystems in a sustainable manner. This section explores the subtle differences between Target 1 and SDG 15, highlighting Japan's critical role in establishing the framework necessary to guarantee the preservation, restoration, and sustainable management of inland and terrestrial freshwater ecosystems worldwide.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lastRenderedPageBreak/>
        <w:t>Comprehensive Examination: Manoeuvring the Conservation Terrain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We meticulously deconstruct the components of Target 1 through a comprehensive analysis, unveiling its intrinsic elements and unraveling the intricate tapestry of biodiversity conservation. This exploration serves as a lens through which we examine Japan's policies, avant-garde technologies, and unwavering commitment to realizing the objectives outlined in SDG 15 and Target 1—highlighting the yet-to-be-implemented "Mini Bio Gas Continuous" (MBGC).</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Strategic Alignment of Japan's Initiatives and Policies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Japan strategically aligns its policies and endeavors with the foundational principles of SDG 15 and Target 1 as part of its unwavering dedication to biodiversity preservation. This section delves into Japan's primary strategies and how the nation meticulously balances industrial integration, urbanization, and the safeguarding of its distinctive ecosystems. By dissecting regulatory frameworks and conservation activities, we gain insights into how Japan positions itself as a custodian of Life on Land, ensuring the sustainable use of terrestrial and inland freshwater habitats.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lastRenderedPageBreak/>
        <w:t>Cutting-Edge Technologies: MBGC and the Prospects for Conservation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Highlighting the "Mini Bio Gas Continuous" (MBGC), the exploration extends to cutting-edge technologies poised to revolutionize the landscape of biodiversity protection. The MBGC holds transformative potential, even though it remains unimplemented. This segment scrutinizes how the MBGC's sustainable land management practices, resource efficiency, and selective extraction capacity align with the conservation goals articulated in SDG 15.1. Expert interviews, research evaluations, and case studies provide a comprehensive understanding of the anticipated impacts of MBGC on Japan's biodiversity protection endeavors.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Goal-Driven Commitment: Tracing Progress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narrative concludes with an in-depth analysis of outcomes and benchmarks for success, evaluating Japan's steadfast commitment to biodiversity protection in the context of SDG 15 and Target 1. Through the scrutiny of tangible impacts stemming from policies, programs, and cutting-edge technology, a vivid portrayal emerges of Japan's proactive engagement in international initiatives to uphold Life on Land. Aligned with SDG 15 and Target 1, the analysis underscores the nation's pledge to ensure the preservation, restoration, and sustainable use of terrestrial and inland freshwater habitats.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lastRenderedPageBreak/>
        <w:t>Closing Reflections: Crafting an Enduring Legacy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As we approach the conclusion, Japan stands prominently as a vanguard in biodiversity protection, carving an enduring legacy based on SDG 15 and Target 1. The chapter culminates with a vision of a future wherein Japan's commitment to sustainable land management not only safeguards its diverse ecosystems but also sets a precedent for global conservation endeavors, paving the way for a resilient and thriving planet.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Overview of Japan's Contributions to Other Relevant SDGs: Interconnected Goals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The Interwoven Fabric of SDGs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significance of Sustainable Development Goal 15, dedicated to conserving life on land, intricately intertwines with the broader framework of Sustainable Development Goals (SDGs). While SDG 15 centers on terrestrial ecosystems, its attainment is closely interlinked with achieving other objectives. To comprehend how sustainable land management aligns with SDGs such as SDG 6 (clean water and sanitation), SDG 11 (sustainable cities and communities), and SDG 13 (climate action), this section first explores Japan's contributions to pertinent SDGs.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lastRenderedPageBreak/>
        <w:t>SDG 6 (Hygiene and Clean Water): Fostering Ecosystem Health</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Japan's efforts under SDG 6 underscore its commitment to sustainable land management. Acknowledging the pivotal role of terrestrial and inland freshwater ecosystems in achieving SDG 15, Japan's endeavors to conserve biodiversity and implement sustainable land practices inherently support the provision of clean water and sanitary facilities. The nation's comprehensive approach extends beyond individual goals, recognizing the intrinsic link between ecosystem health and water quality.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SDG 11: Equitable Urbanization and Sustainable Cities and Communities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Japan's dedication to SDG 15 is intricately connected to the interplay between urbanization and sustainable land management. Noteworthy contributions to SDG 11, amidst the challenges of urban development, showcase Japan's ability to craft innovative solutions that harmonize biodiversity preservation with urban growth. The interconnectedness of SDG 15 and SDG 11 underscores Japan's responsibility in striking a balance between the goals of modern society and ecological preservation.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SDG 13: Mitigating Environmental Impact (Climate Action)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Climate action is imperative for holistic sustainable land management. Innovative technologies like the "Mini Bio Gas Continuous" (MBGC) and Japan's commitment to biodiversity conservation contribute to reducing environmental impact. As Japan aligns its strategy for sustainable land management with climate action targets, the interconnectedness between SDGs 15 and 13 becomes evident, showcasing a comprehensive approach to addressing the complexities of a changing climate.</w:t>
      </w: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Collaborative Endeavors: Uniting for Sustainability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Japan actively participates in domestic and international partnerships to maximize its influence on the SDGs. This section presents cooperative projects that go beyond individual goals and establish Japan as a leader in integrated sustainability. The examination of initiatives that address several goals highlights the country's commitment to accomplishing SDG 15 and enacting more extensive changes throughout the SDG framework.</w:t>
      </w: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Getting Ahead: SDG 15.1 Key Performance Indicators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Assessing Development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The Function of Key Performance Indicators (KPIs) in Measuring Success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This section explores the key performance indicators (KPIs) that are used to measure progress and determine if the country's sustainable land management practises are successful. We begin a thorough examination of the quantitative and qualitative measurements used to evaluate the effects of programs like afforestation, technology advancements, and community involvement. These metrics range from metrics related to biodiversity to indicators of the health of the ecosystem.</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Analyzing Effect: Ecosystem Health Indicators and Biodiversity Metrics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This chapter examines the complexities of impact assessment through a close examination of the KPIs that serve as the foundation for SDG 15.1. Metrics measuring biodiversity, such as species richness, genetic diversity, and habitat health, offer a quantitative perspective on the effectiveness of conservation initiatives. Simultaneously, markers of ecosystem health such as soil health indices and water quality assessments provide a more detailed picture of the wider ecological effects of sustainable land management techniques. By analyzing annual reports, research results, and official evaluations, we shed light on Japan's plans' efficacy and pinpoint areas that require improvement in order to achieve SDG 15.1.</w:t>
      </w: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Participation of Stakeholders in Monitoring</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lastRenderedPageBreak/>
        <w:t>Participatory Methods: Progress Driven by the Community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Japan's dedication to inclusive monitoring is demonstrated by its use of community-empowering participatory methods. This chapter explores the ways in which Japan incorporates local perspectives, experiences, and goals into the process of monitoring. Japan encourages communities to take ownership and communal responsibility for sustainable land management practises by giving them agency in evaluating their effects. The story unfolds to highlight examples of how community-driven progress towards SDG 15.1 is accelerated by participatory techniques.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Initiatives in Citizen Science: Linking Local Wisdom with Expertise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investigation also includes citizen science projects which fills the knowledge gap between scientific research and indigenous knowledge. Participating citizens in data collection, monitoring, and analysis allows the country to access an invaluable reservoir of experiences and observations. Examples of effective citizen science initiatives are given in this section to show how community engagement advances our understanding of how sustainable land management practises affect terrestrial ecosystems.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lastRenderedPageBreak/>
        <w:t>Joint Research Initiatives: Combining Specializations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Research collaborations represent an additional facet of stakeholder engagement. Japan regularly exchanges knowledge and resources with corporations, non-governmental organizations, and academic institutions. The country makes sure that the monitoring process is strong and informed by encouraging a collaborative atmosphere. An analysis of these projects highlights the ways in which a range of viewpoints, skills, and assets come together to form an integrated approach to tracking SDG 15.1 progress.</w:t>
      </w: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135C8E" w:rsidRDefault="00FA4F8B" w:rsidP="00135C8E">
      <w:pPr>
        <w:pStyle w:val="Titolo1"/>
        <w:rPr>
          <w:rFonts w:cs="Times New Roman"/>
          <w:sz w:val="24"/>
          <w:szCs w:val="24"/>
          <w:u w:val="single"/>
          <w:lang w:val="en-US"/>
        </w:rPr>
      </w:pPr>
      <w:bookmarkStart w:id="17" w:name="_Toc151759455"/>
      <w:r w:rsidRPr="00C51A45">
        <w:rPr>
          <w:lang w:val="en-US"/>
        </w:rPr>
        <w:lastRenderedPageBreak/>
        <w:t>Socio-Economic Impact of Biodiversity Conservation and Sustainable Land Management</w:t>
      </w:r>
      <w:bookmarkEnd w:id="17"/>
    </w:p>
    <w:p w:rsidR="00E44F86" w:rsidRDefault="00E44F86"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Revealing Social Effects: Strengthening Communities with SDG 15.1 Programs</w:t>
      </w: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Empowerment and Stewardship of Communities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Promoting Community Involvement: An All-Inclusive Method</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Beyond ecological preservation, Japan is committed to fostering the potential for beneficial social benefits within local communities as part of Sustainable Development Goal 15.1. This section reveals the transformative potential of SDG 15.1 projects, with a particular emphasis on efforts to promote stewardship and community engagement. We examine situations where local populations actively take part in the formulation, application, and oversight of sustainable land management practises via the prism of case studies and interviews. The investigation sheds light on the mutually beneficial relationship that exists between the development of a shared duty and increased environmental consciousness </w:t>
      </w:r>
      <w:r w:rsidRPr="00C51A45">
        <w:rPr>
          <w:rFonts w:ascii="Times New Roman" w:hAnsi="Times New Roman" w:cs="Times New Roman"/>
          <w:sz w:val="24"/>
          <w:szCs w:val="24"/>
          <w:lang w:val="en-US"/>
        </w:rPr>
        <w:lastRenderedPageBreak/>
        <w:t>within communities and Japan's initiatives, such as afforestation programs and animal habitat preservation.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Empowerment Case Studies: Local Communities' Voices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Through the analysis of particular case studies, we reveal stories of community empowerment wherein they are made into essential partners in the process of achieving sustainable land management. We examine situations where local perspectives inform the planning and execution of projects, showcasing a participatory methodology that goes beyond conventional hierarchical frameworks. The chapter highlights tales of communities that are actively maintaining their local ecosystems, demonstrating how individual empowerment breeds environmental responsibility on a communal level.</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Possibilities for Education and Awareness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Increasing Environmental Literacy: SDG 15.1's Educational Aspect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Initiatives to conserve biodiversity have an impact that goes beyond natural borders and provides educational opportunities that improve communities' general well-being. This examines the educational aspect of Japan's sustainable land management techniques, revealing how </w:t>
      </w:r>
      <w:r w:rsidRPr="00C51A45">
        <w:rPr>
          <w:rFonts w:ascii="Times New Roman" w:hAnsi="Times New Roman" w:cs="Times New Roman"/>
          <w:sz w:val="24"/>
          <w:szCs w:val="24"/>
          <w:lang w:val="en-US"/>
        </w:rPr>
        <w:lastRenderedPageBreak/>
        <w:t>these programs serve as catalysts for bringing attention to the significance of ecosystems. This investigation includes outreach initiatives, curricula integration, and educational programs related to the environment.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Outreach Beyond Boundaries: Initiatives in Environmental Education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Promoting environmental knowledge and sustainable land management go hand in hand in Japan. We look into the several outreach programs that help close the knowledge gap between the scientific community and the general public. These educational initiatives, which range from seminars to awareness campaigns, empower communities by providing them with the information and abilities they need to actively support SDG 15.1. This section tells the tales of people who became community environmental stewardship advocates after being motivated by educational opportunities.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Integrating Curriculum: Developing Future Guardians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incorporation of environmental subjects into school curricula is evidence of Japan's dedication to forming the next wave of environmental protectors. We shed light on how the integration of sustainability principles into education establishes the groundwork for a sustainable and environmentally conscious society by analysing the </w:t>
      </w:r>
      <w:r w:rsidRPr="00C51A45">
        <w:rPr>
          <w:rFonts w:ascii="Times New Roman" w:hAnsi="Times New Roman" w:cs="Times New Roman"/>
          <w:sz w:val="24"/>
          <w:szCs w:val="24"/>
          <w:lang w:val="en-US"/>
        </w:rPr>
        <w:lastRenderedPageBreak/>
        <w:t>influence on public knowledge and attitudes. Beyond short-term effects, the investigation imagines a time when every student upholds the values of SDG 15.1 by serving as a protector of Life on Land.</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Concluding Remarks: Promoting a Comprehensive Welfare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As we draw to a close our investigation of the possible social effects of Japan's efforts in SDG 15.1, a narrative of holistic well-being becomes apparent. Beyond ecological preservation, the nation's dedication acts as a spark for increased environmental consciousness, shared responsibility, and communal empowerment. The chapter ends with a vision of a society in which sustainable land management becomes essential to preserving ecosystems as well as strengthening social cohesion and building strong, empowered communities.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Reaping Financial Gains: Exposing the Financial Advantages of SDG 15.1 Projects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Job Development and Economic Expansion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From Employment to Reforestation: Promoting Economic Prosperity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As a result of Japan's dedication to Sustainable Development Goal 15.1, local communities benefit </w:t>
      </w:r>
      <w:r w:rsidRPr="00C51A45">
        <w:rPr>
          <w:rFonts w:ascii="Times New Roman" w:hAnsi="Times New Roman" w:cs="Times New Roman"/>
          <w:sz w:val="24"/>
          <w:szCs w:val="24"/>
          <w:lang w:val="en-US"/>
        </w:rPr>
        <w:lastRenderedPageBreak/>
        <w:t>economically and environmental well-being is ensured. This section explores the economic benefits of Japan's programs, focusing on the ways in which sustainable land management practises support economic expansion and job development. We disentangle the jobs created by afforestation initiatives, the expansion of ecotourism, and the adoption of sustainable agricultural practises through a careful analysis.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Green Employment: Boosting Regional Communities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One of the main components of Japan's sustainable land management strategies is reforestation, which acts as a catalyst for the creation of green jobs. The story breaks down how the growth of forests benefits local people by creating jobs and maintaining the health of the environment. We offer insights into the mutually beneficial relationship between environmental preservation and economic prosperity by examining case studies and quantitative data. The section tells personal accounts of people making a living in the green economy, demonstrating the revolutionary effect of SDG 15.1 on regional labor markets.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Sustainable Agriculture and Ecotourism: Promoting Economic Growth</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The economic scope includes ecotourism and sustainable agriculture in addition to afforestation. Japan's efforts in support of SDG 15.1 play a crucial role in developing these economic aspects and promoting growth that is consistent with environmental sustainability. We investigate the ways in which eco-tourism projects, motivated by the attraction of bio-diverse landscapes, support both local economy and the preservation of natural habitats. In a similar vein, the integration of sustainable agriculture practises into land management showcases a well-balanced economic productivity and ecological preservation.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Various Revenue Sources and Market Opportunities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Carbon Offset Programs and Eco-Services: Making Value from Conservation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Beyond just providing immediate financial gains, sustainable land management techniques also generate a variety of income streams that boost regional economies. This segment looks into the clever ways that Japan uses carbon offset schemes, eco-services, and sustainable resource management to open up business prospects. We evaluate the financial sustainability of projects that are in line with SDG 15.1 by exploring the complexities of market potential and industry integration. </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lastRenderedPageBreak/>
        <w:t>Creative Economic Models: Juggling Growth and Conservation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Japan takes a different approach to sustainable land management than traditional economic theories. This section of the chapter examines cutting-edge economic models that carefully balance the needs for environmental preservation with those for economic expansion. We offer insights into how Japan manages the challenges of market dynamics while staying firm in its commitment to biodiversity protection by looking at successful case studies and cutting-edge tactics. The story tells the tales of profitable, environmentally conscious companies and endeavours that also advance the more general objectives of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Final Thought: Wealth in Balance with Conservation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As we come to the end of our investigation into the financial advantages of Japan's efforts under SDG 15.1, a story of prosperity in balance with preservation begins to take shape. Sustainable land management fosters job creation, economic expansion, and the development of multiple revenue streams in addition to the obvious environmental benefits. The chapter ends with a picture of prosperous local communities supported by the mutually beneficial interaction between environmental preservation </w:t>
      </w:r>
      <w:r w:rsidRPr="00C51A45">
        <w:rPr>
          <w:rFonts w:ascii="Times New Roman" w:hAnsi="Times New Roman" w:cs="Times New Roman"/>
          <w:sz w:val="24"/>
          <w:szCs w:val="24"/>
          <w:lang w:val="en-US"/>
        </w:rPr>
        <w:lastRenderedPageBreak/>
        <w:t>and economic growth, all under the auspices of Sustainable Development Goal 15.1.</w:t>
      </w: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Overcoming Obstacles: The Crucial Function of Monitoring, Reporting, and Verification (MRV) Systems in Japan for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Making Certain Accountability and Openness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The Foundation of Achievement: Transparency and Accountability via MRV Systems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Monitoring, Reporting, and Verification (MRV) systems become essential components in the complex fabric of sustainable land management. The importance of MRV systems to Japan's unwavering pursuit of Sustainable Development Goal 15.1 (SDG 15.1) is explored in this section. The narrative delineates the complex interplay between data-driven decision-making and the optimization of conservation methods by closely examining the mechanisms by which these systems maintain accountability and transparency.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Using Data as a Lighthouse to Improve Decision-Making</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In Japan, MRV systems evolve from being simple instruments to shining examples of data-driven decision-making. The story clarifies situations in which real-time </w:t>
      </w:r>
      <w:r w:rsidRPr="00C51A45">
        <w:rPr>
          <w:rFonts w:ascii="Times New Roman" w:hAnsi="Times New Roman" w:cs="Times New Roman"/>
          <w:sz w:val="24"/>
          <w:szCs w:val="24"/>
          <w:lang w:val="en-US"/>
        </w:rPr>
        <w:lastRenderedPageBreak/>
        <w:t>data informs interventions, offering a comprehensive grasp of the mutually beneficial link between MRV systems and the accomplishment of biodiversity conservation objectives. Understanding how technology, citizen research, and cooperative methods are integrated improves our understanding of the complex importance of MRV systems.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Continuous Improvement and Adaptive Management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Adaptive Management as a Cornerstone: Going Beyond Measurement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MRV systems serve as both a progress indicator and a motivator for ongoing development and adaptive management. This section explores the ways in which Japan uses monitoring data to improve and modify its sustainable land management techniques. We explore Japan's iterative approach to SDG 15.1 by looking at case studies and policy changes based on monitoring results.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Applying Experience to Learning: Case Studies and Modifications to Policies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investigation includes case studies that describe Japan's adaptive management journey. We tell the tales of policy changes driven by results monitoring, demonstrating how the country consistently improves its </w:t>
      </w:r>
      <w:r w:rsidRPr="00C51A45">
        <w:rPr>
          <w:rFonts w:ascii="Times New Roman" w:hAnsi="Times New Roman" w:cs="Times New Roman"/>
          <w:sz w:val="24"/>
          <w:szCs w:val="24"/>
          <w:lang w:val="en-US"/>
        </w:rPr>
        <w:lastRenderedPageBreak/>
        <w:t>policies by drawing lessons from its past. The chapter emphasizes how crucial it is for management frameworks to be flexible in order to be sensitive to shifting ecological dynamics, which is essential for success. The story offers a roadmap for nations hoping to incorporate adaptive management into their sustainable land management initiatives by carefully examining iterative processes.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Engaging Stakeholders: A Changing Feedback Cycle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MRV technologies and SDG 15.1 provide a dynamic feedback loop around stakeholder participation. This section highlights the proactive ways in which Japan incorporates corporations, non-governmental organizations, and communities into the monitoring process. The country guarantees that varied viewpoints are incorporated into the framework of adaptive management by cultivating a collaborative spirit. A robust and efficient ecosystem is created for accomplishing biodiversity conservation goals through a complex dance between policy adjustments and monitoring results, as demonstrated by successful examples of stakeholder engagement.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Recap: An Adaptive Course for the Future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A dynamic way forward becomes apparent as we wrap up our investigation on the significance of Monitoring, </w:t>
      </w:r>
      <w:r w:rsidRPr="00C51A45">
        <w:rPr>
          <w:rFonts w:ascii="Times New Roman" w:hAnsi="Times New Roman" w:cs="Times New Roman"/>
          <w:sz w:val="24"/>
          <w:szCs w:val="24"/>
          <w:lang w:val="en-US"/>
        </w:rPr>
        <w:lastRenderedPageBreak/>
        <w:t>Reporting, and Verification (MRV) systems for SDG 15.1 in Japan. MRV systems are no longer static measurements; instead, they are dynamic tools that support openness, guarantee accountability, and direct adaptive management.</w:t>
      </w: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E44F86" w:rsidRDefault="00E44F86">
      <w:pP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br w:type="page"/>
      </w:r>
    </w:p>
    <w:p w:rsidR="00FA4F8B" w:rsidRPr="00C51A45" w:rsidRDefault="00FA4F8B" w:rsidP="00E44F86">
      <w:pPr>
        <w:pStyle w:val="Titolo1"/>
        <w:rPr>
          <w:lang w:val="en-US"/>
        </w:rPr>
      </w:pPr>
      <w:bookmarkStart w:id="18" w:name="_Toc151759456"/>
      <w:r w:rsidRPr="00C51A45">
        <w:rPr>
          <w:lang w:val="en-US"/>
        </w:rPr>
        <w:lastRenderedPageBreak/>
        <w:t>Partnerships and Collaborations</w:t>
      </w:r>
      <w:bookmarkEnd w:id="18"/>
    </w:p>
    <w:p w:rsidR="00E44F86" w:rsidRDefault="00E44F86"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Crossing Collaborative Boundaries: Japanese Governmental Agencies Leading Biodiversity Preservation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Cooperation Among Agencies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Harmony of Coordination: Governmental Agencies with SDG 15.1</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In Japan, government organizations play a crucial role in coordinating efforts to conserve biodiversity. This section sets out to dissect the complex web of cooperation between different government agencies. Through an examination of the ways in which these organizations work together to execute and oversee sustainable land management strategies that are in line with SDG 15.1, the story highlights the benefits and difficulties that come with working across agencies.</w:t>
      </w: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Voices of Cooperation: Stakeholder Interviews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Voices from the field are added to the investigation through interviews with officials from pertinent ministries and agencies. These discussions shed light on the complex dynamics of inter-agency cooperation and provide insights </w:t>
      </w:r>
      <w:r w:rsidRPr="00C51A45">
        <w:rPr>
          <w:rFonts w:ascii="Times New Roman" w:hAnsi="Times New Roman" w:cs="Times New Roman"/>
          <w:sz w:val="24"/>
          <w:szCs w:val="24"/>
          <w:lang w:val="en-US"/>
        </w:rPr>
        <w:lastRenderedPageBreak/>
        <w:t>into the tactics used, obstacles encountered, and shared vision that drives efforts to conserve biodiversity. Case studies serve as windows into effective projects, showcasing examples of how government agencies coordinate their efforts to realise the shared goals embodied in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Harmonization of Policies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Getting Around Policy Landscapes: The Harmonization Art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Conservation of biodiversity frequently requires negotiating challenging policy environments. This section explores Japan's practise of policy harmonization, looking at how the country unifies policies from many government agencies to provide a unified and functional framework. Through a close examination of policy frameworks, cross-sectoral partnerships, and legislative changes, the story reveals the means by which Japan is bringing its approach to SDG 15.1 into line. Investigation sheds light on the tactics used to make sure that various government agencies collaborate to achieve common goals.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Legislative Modifications: Developing a Coordinated Strategy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Japan has made legislative changes that provide a coherent strategy for sustainable land management, which have defined the country's path in biodiversity conservation. Case studies highlight situations in which creative activities have been made possible by legislative changes, demonstrating how flexible policy frameworks may be to address the changing demands of biodiversity protection.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Inter-Sectoral Partnerships: Overcoming Administrative Divides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Japan works across sectors to collaborate in order to overcome administrative silos in order to achieve SDG 15.1. Through the telling of successful collaborations that cross conventional departmental lines, narrative enables government organizations to coordinate their efforts and create a collaborative environment.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Through an examination of the processes that promote cross-sector partnerships, we may learn how Japan establishes a strong basis for the successful application of sustainable land management practises.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Concluding Remarks: Bringing Biodiversity Conservation Together</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A story of coherence and coordination begins to take shape as we wrap up our investigation of the cooperative </w:t>
      </w:r>
      <w:r w:rsidRPr="00C51A45">
        <w:rPr>
          <w:rFonts w:ascii="Times New Roman" w:hAnsi="Times New Roman" w:cs="Times New Roman"/>
          <w:sz w:val="24"/>
          <w:szCs w:val="24"/>
          <w:lang w:val="en-US"/>
        </w:rPr>
        <w:lastRenderedPageBreak/>
        <w:t>boundaries of government agencies guiding biodiversity protection in Japan. Government agencies perform a symphony devoted to SDG 15.1 through interagency coordination and policy harmonization. The chapter ends with a picture of a peaceful future in which many government agencies work together to build a strong and practical framework for biodiversity conservation, preserving the beautiful tapestry of Life on Land.</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Creating Change: Environmental Organizations and NGOs at the Centre of Japan's Biodiversity Conservation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Community-Based Projects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NGOs and grassroots biodiversity conservation are the seeds of change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Non-Governmental Organizations (NGOs) and environmental groups are emerging as grassroots initiative advocates in the field of biodiversity protection. This section sets out to investigate the ways in which these organizations plant seeds of change, advancing Sustainable Development Goal 15.1 via community-led initiatives, campaigns for awareness, and advocacy. Speaking with representatives of well-known NGOs provides a nuanced insight of the difficulties they </w:t>
      </w:r>
      <w:r w:rsidRPr="00C51A45">
        <w:rPr>
          <w:rFonts w:ascii="Times New Roman" w:hAnsi="Times New Roman" w:cs="Times New Roman"/>
          <w:sz w:val="24"/>
          <w:szCs w:val="24"/>
          <w:lang w:val="en-US"/>
        </w:rPr>
        <w:lastRenderedPageBreak/>
        <w:t>encounter and the creative solutions they use to support government initiatives.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Community-Based Projects: Firsthand Accounts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NGOs and environmental organizations serve as a platform for community-led projects that align with SDG 15.1. The story reveals the fruitful partnerships between these organizations and nearby communities through case studies and interviews. These narratives highlight the significance of bottom-up efforts by showing how communities take on the role of stewards of their local ecosystems under the direction of NGOs. The investigation clarifies the transformative potential of community-based initiatives in accomplishing sustainable land management objectives.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Volunteering and Citizen Science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Using Volunteerism and Citizen Science to Harness the Power of Many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By actively involving the public in scientific research and conservation efforts, NGOs increase their influence. This section explores how Japan uses volunteerism and citizen science to improve community involvement and biodiversity monitoring. We reveal the critical role that non-governmental organizations (NGOs) play in </w:t>
      </w:r>
      <w:r w:rsidRPr="00C51A45">
        <w:rPr>
          <w:rFonts w:ascii="Times New Roman" w:hAnsi="Times New Roman" w:cs="Times New Roman"/>
          <w:sz w:val="24"/>
          <w:szCs w:val="24"/>
          <w:lang w:val="en-US"/>
        </w:rPr>
        <w:lastRenderedPageBreak/>
        <w:t>promoting a feeling of environmental stewardship and community empowerment through an analysis of successful projects and initiatives.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Participation in the Community: An Accelerator for Change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active participation of individuals in monitoring and conservation activities through citizen science can serve as a catalyst for positive change. The narrative tells the tales of several fruitful citizen science initiatives in which participants provide insightful data that enhances biodiversity monitoring initiatives. We explore the symbiotic interaction between NGOs, citizen scientists, and local communities through interviews and case studies, highlighting how these cooperative endeavours contribute to the attainment of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Empowerment via Initiatives Driven by Volunteers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When people actively participate in biodiversity conservation, volunteering becomes a means of empowerment. This section of the chapter examines the effects of volunteer-driven projects, presenting examples of how the combined efforts of volunteers increase the influence and outreach of non-governmental organizations. Through an analysis of the creative strategies used to organize volunteers, the investigation </w:t>
      </w:r>
      <w:r w:rsidRPr="00C51A45">
        <w:rPr>
          <w:rFonts w:ascii="Times New Roman" w:hAnsi="Times New Roman" w:cs="Times New Roman"/>
          <w:sz w:val="24"/>
          <w:szCs w:val="24"/>
          <w:lang w:val="en-US"/>
        </w:rPr>
        <w:lastRenderedPageBreak/>
        <w:t>sheds light on how Japan fosters a culture of environmental stewardship through citizen participation.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Conclusion: A Multi-Handled Tapestry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 mosaic created by numerous hands takes shape as we come to the end of our investigation into the crucial role that NGOs and environmental organizations play in Japan's efforts to conserve biodiversity. The chapter ends with a picture of a time when people and organizations work together to conserve biodiversity and weave a strong and colorful fabric for life on land. This vision is driven by a common commitment to biodiversity conservation.</w:t>
      </w: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Crossing Boundaries: Global Partnerships for Protecting Biodiversity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Cooperation on a bilateral and multilateral basis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Worldwide Linkages: Japan's Efforts in International Cooperation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International cooperation is essential to the field of biodiversity conservation. This section explores how Japan collaborates bilaterally and multilaterally with agencies for international development, acknowledging the global dimension of the challenge. We investigate how Japan shares its knowledge, resources, and technologies with other countries through case studies and collaborative </w:t>
      </w:r>
      <w:r w:rsidRPr="00C51A45">
        <w:rPr>
          <w:rFonts w:ascii="Times New Roman" w:hAnsi="Times New Roman" w:cs="Times New Roman"/>
          <w:sz w:val="24"/>
          <w:szCs w:val="24"/>
          <w:lang w:val="en-US"/>
        </w:rPr>
        <w:lastRenderedPageBreak/>
        <w:t>projects. The story reveals the complex workings of joint ventures, diplomatic missions, and best-practice sharing, illuminating Japan's dedication to international biodiversity protection.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Common Visions: Case Studies and Collaborative Initiatives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Case studies serve as windows into the common goals that motivate cooperative projects. The investigation provides insights into how Japan works with international development agencies to address the challenges of sustainable land management by looking at particular projects and initiatives. These stories illustrate situations in which collaborative efforts and the exchange of knowledge produce a global synergy that embodies the spirit of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Transfer of Technology and Capacity Building</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Crossing Divides: Japan's Role in Global Technological Progress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Working together with international development organizations opens up channels for capacity building and technology transfer. This section looks at Japan's role in developing countries' capacity building and technology advancement in relation to sustainable land management. </w:t>
      </w:r>
      <w:r w:rsidRPr="00C51A45">
        <w:rPr>
          <w:rFonts w:ascii="Times New Roman" w:hAnsi="Times New Roman" w:cs="Times New Roman"/>
          <w:sz w:val="24"/>
          <w:szCs w:val="24"/>
          <w:lang w:val="en-US"/>
        </w:rPr>
        <w:lastRenderedPageBreak/>
        <w:t>Through an examination of technology transfer agreements, cooperative research projects, and training initiatives, the story reveals Japan's critical role in developing global capacities to realize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Training Courses: Developing Knowledge Abroad</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Japan's dedication to enhancing capacity is demonstrated by its training initiatives that foster cross-border competence. We explore particular programs, looking at how Japan promotes the exchange of expertise necessary for sustainable land management. We investigate the effects of training programs on people and organizations using case studies and interviews, highlighting Japan's contribution to the development of an international practitioner community devoted to biodiversity protection.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Agreements on Technology Transfer: Strengthening Countries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Technology transfer agreements serve as tools for empowerment as developing countries learn from Japan's innovations and best practises. The story tells tales of cooperative initiatives that surpass words, demonstrating how these agreements result in real progress towards sustainable land management. We shed light on how Japan contributes to the development of the institutional and technological capacities required for the global </w:t>
      </w:r>
      <w:r w:rsidRPr="00C51A45">
        <w:rPr>
          <w:rFonts w:ascii="Times New Roman" w:hAnsi="Times New Roman" w:cs="Times New Roman"/>
          <w:sz w:val="24"/>
          <w:szCs w:val="24"/>
          <w:lang w:val="en-US"/>
        </w:rPr>
        <w:lastRenderedPageBreak/>
        <w:t>achievement of SDG 15.1, by examining particular agreements and their results.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Expanding horizons and promoting worldwide resilience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As we come to the end of this investigation into Japan's partnerships with international development organizations, a story of expanding perspectives and building global resilience is revealed. Japan becomes a global catalyst for cooperative action through bilateral and multilateral initiatives, technology transfer, and capacity building. </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Developing Knowledge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Research Projects: Trailblazing Directions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Academic institutions in Japan are taking the lead in defining the future of sustainable land management. We explore certain scientific projects, revealing how these endeavours push the frontiers of knowledge and creativity. The story provides an overview of the revolutionary projects and researcher insights that shed light on the transformative potential of research-led innovation in tackling the intricacies of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Multidisciplinary Harmony: Instances of Successful Collaboration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Case studies that demonstrate the harmony attained through interdisciplinary teamwork are presented in the narrative. We disentangle the mechanics of fruitful collaborative research by looking at particular initiatives where academic institutions collaborate with governmental agencies, non-governmental organizations, and foreign partners. These narratives demonstrate how combining knowledge from different fields may be a potent tool for tackling the complex problems associated with biodiversity protection. We create a clear picture of how Japan's academic institutions support the realization of SDG 15.1, creating an environment where cooperation and research intersect for the benefit of society, through in-depth analysis and interviews.</w:t>
      </w: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Initiatives for Empowerment and Community Participation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Programs for Local Empowerment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For sustainable land management projects to be successful, local communities must be empowered. In order to improve the efficacy of SDG 15.1, this section examines how Japan carries out programs for community empowerment and participation. Case studies and interviews with local leaders are included. throw light on effective participation approaches, emphasizing the importance of education, traditional knowledge </w:t>
      </w:r>
      <w:r w:rsidRPr="00C51A45">
        <w:rPr>
          <w:rFonts w:ascii="Times New Roman" w:hAnsi="Times New Roman" w:cs="Times New Roman"/>
          <w:sz w:val="24"/>
          <w:szCs w:val="24"/>
          <w:lang w:val="en-US"/>
        </w:rPr>
        <w:lastRenderedPageBreak/>
        <w:t>integration, and participatory decision-making in biodiversity conservation initiatives.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Models of Collaborative Governance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Collaborative governance methods are often necessary for effective community participation. This section of the chapter looks at the collaborative governance frameworks that Japan creates and puts into place for sustainable land management. We reveal the dynamics of resource allocation, conflict resolution, and decision-making in the context of community-led conservation initiatives through the analysis of case studies and policy frameworks.</w:t>
      </w: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E44F86" w:rsidRDefault="00E44F86" w:rsidP="00E44F86">
      <w:pPr>
        <w:pStyle w:val="Titolo1"/>
        <w:rPr>
          <w:lang w:val="en-US"/>
        </w:rPr>
      </w:pPr>
      <w:r>
        <w:rPr>
          <w:lang w:val="en-US"/>
        </w:rPr>
        <w:br w:type="page"/>
      </w:r>
      <w:bookmarkStart w:id="19" w:name="_Toc151759457"/>
      <w:r w:rsidR="00FA4F8B" w:rsidRPr="00C51A45">
        <w:rPr>
          <w:lang w:val="en-US"/>
        </w:rPr>
        <w:lastRenderedPageBreak/>
        <w:t>Long-term Sustainability and Scalability: Nurturing Public Perception and Community Involvement in Biodiversity Conservation</w:t>
      </w:r>
      <w:bookmarkEnd w:id="19"/>
    </w:p>
    <w:p w:rsidR="00E44F86" w:rsidRDefault="00E44F86"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sustainability and scope of biodiversity conservation initiatives depend on gaining public support and forming positive attitudes. This section examines Japan's approaches to encouraging community involvement in order to maintain public support for sustainable land management techniques. By examining successful outreach strategies, educational activities, and communication tactics, we examine how Japan fosters favourable attitudes towards SDG 15.1 targets and projects such as the Mini Bio Gas Continuous (MBGC). Community interviews and perception surveys provide valuable insights into the workings of public participation.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Examining Cultural Perspectives: A Vital Dimension in Public Acceptance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Cultural viewpoints wield significant influence over public acceptance. This chapter scrutinizes how Japan navigates cultural considerations in the implementation of sustainable land management practices. By investigating cultural perspectives on biodiversity, nature, and </w:t>
      </w:r>
      <w:r w:rsidRPr="00C51A45">
        <w:rPr>
          <w:rFonts w:ascii="Times New Roman" w:hAnsi="Times New Roman" w:cs="Times New Roman"/>
          <w:sz w:val="24"/>
          <w:szCs w:val="24"/>
          <w:lang w:val="en-US"/>
        </w:rPr>
        <w:lastRenderedPageBreak/>
        <w:t>technological interventions, we assess the impact of cultural viewpoints on the long-term viability and scalability of initiatives such as the MBGC and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Balancing Ethical Principles and Technological Innovation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Incorporating an ethical compass, Japan steers its adoption of cutting-edge technologies, notably the MBGC, in the transition to sustainable land management. This section delves into the ethical considerations surrounding technologies that selectively extract organic matrices. Through interviews with community leaders, ethicists, and environmentalists, we unravel the ethical frameworks guiding decision-making. An in-depth analysis ensues to evaluate the ethical sustainability of projects aligned with SDG 15.1 and the JWT Green Patent, highlighting Japan's delicate balance between ethical principles and technological innovation.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Diverse Voices Shaping Ethical Decision-Making</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Ethicists, environmentalists, and community leaders contribute diverse perspectives that shape ethical decision-making in Japan's sustainable land management techniques. Through comprehensive interviews, this investigation provides a nuanced understanding of the moral considerations influencing Japan's approach to </w:t>
      </w:r>
      <w:r w:rsidRPr="00C51A45">
        <w:rPr>
          <w:rFonts w:ascii="Times New Roman" w:hAnsi="Times New Roman" w:cs="Times New Roman"/>
          <w:sz w:val="24"/>
          <w:szCs w:val="24"/>
          <w:lang w:val="en-US"/>
        </w:rPr>
        <w:lastRenderedPageBreak/>
        <w:t>technology advancements like the MBGC. The incorporation of expert perspectives enhances the ethical landscape, shedding light on Japan's commitment to the ethical aspects of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Global Ethical Alignment: Beyond SDG 15.1</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Ethical considerations extend beyond specific goals, encompassing a broader spectrum of Sustainable Development Goals. This chapter explores how Japan ensures ethical alignment not only with SDG 15.1 but also with interconnected goals. By examining the ethical implications of biodiversity conservation on social equity, economic justice, and climate action, we unravel the interconnected nature of ethical considerations in achieving holistic sustainability. The exploration showcases Japan's commitment to a comprehensive, ethically grounded approach to SDG 15.1 that resonates across the global landscape of sustainability.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Expert Insights and Consultation: Foundations of Informed Decision-Making</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Long-term sustainability hinges on informed decision-making, prompting Japan to actively seek feedback from specialists in sustainable land management, technology development, and biodiversity conservation. This section examines how the perspectives of scientists, engineers, </w:t>
      </w:r>
      <w:r w:rsidRPr="00C51A45">
        <w:rPr>
          <w:rFonts w:ascii="Times New Roman" w:hAnsi="Times New Roman" w:cs="Times New Roman"/>
          <w:sz w:val="24"/>
          <w:szCs w:val="24"/>
          <w:lang w:val="en-US"/>
        </w:rPr>
        <w:lastRenderedPageBreak/>
        <w:t>and environmental specialists influence policies, mitigate risks, and contribute to the adaptive management of initiatives like the MBGC and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Iterative Innovations Driven by Expert Feedback</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Expert feedback loops play a pivotal role in refining technologies and processes. This segment explores how Japan iteratively enhances its sustainable land management policies by incorporating insights from experts. Through case studies of technical breakthroughs and legislative changes driven by expert consultation, we illustrate the dynamic nature of Japan's approach to achieving long-term sustainability.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Conclusion: Reflecting on Achievements and Challenges</w:t>
      </w:r>
    </w:p>
    <w:p w:rsidR="00FA4F8B" w:rsidRPr="00E44F86"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In concluding this chapter, we analyze the successes, challenges, and lessons learned in the pursuit of long-term sustainability and scalability in biodiversity conservation initiatives. A comprehensive summary of Japan's ongoing initiatives, including the yet-to-be-implemented Mini Bio Gas Continuous (MBGC) and the JWT Green Patent, is presented. Key findings from ethical considerations, expert feedback, and public approval provide valuable insights</w:t>
      </w:r>
    </w:p>
    <w:p w:rsidR="00135C8E" w:rsidRDefault="00FA4F8B">
      <w:pPr>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br w:type="page"/>
      </w:r>
      <w:r w:rsidR="00135C8E">
        <w:rPr>
          <w:rFonts w:ascii="Times New Roman" w:hAnsi="Times New Roman" w:cs="Times New Roman"/>
          <w:b/>
          <w:sz w:val="24"/>
          <w:szCs w:val="24"/>
          <w:u w:val="single"/>
          <w:lang w:val="en-US"/>
        </w:rPr>
        <w:lastRenderedPageBreak/>
        <w:br w:type="page"/>
      </w:r>
    </w:p>
    <w:p w:rsidR="00135C8E" w:rsidRDefault="00135C8E">
      <w:pP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lastRenderedPageBreak/>
        <w:br w:type="page"/>
      </w:r>
    </w:p>
    <w:p w:rsidR="00FA4F8B" w:rsidRPr="00C51A45" w:rsidRDefault="00FA4F8B" w:rsidP="00C51A45">
      <w:pPr>
        <w:jc w:val="both"/>
        <w:rPr>
          <w:rFonts w:ascii="Times New Roman" w:hAnsi="Times New Roman" w:cs="Times New Roman"/>
          <w:b/>
          <w:sz w:val="24"/>
          <w:szCs w:val="24"/>
          <w:u w:val="single"/>
          <w:lang w:val="en-US"/>
        </w:rPr>
      </w:pPr>
    </w:p>
    <w:p w:rsidR="00E44F86" w:rsidRPr="00E44F86" w:rsidRDefault="00E44F86" w:rsidP="00E44F86">
      <w:pPr>
        <w:pStyle w:val="Titolo1"/>
        <w:jc w:val="right"/>
        <w:rPr>
          <w:sz w:val="40"/>
          <w:szCs w:val="40"/>
          <w:lang w:val="en-US"/>
        </w:rPr>
      </w:pPr>
      <w:bookmarkStart w:id="20" w:name="_Toc151759458"/>
      <w:r w:rsidRPr="00E44F86">
        <w:rPr>
          <w:sz w:val="40"/>
          <w:szCs w:val="40"/>
          <w:lang w:val="en-US"/>
        </w:rPr>
        <w:t>SDG 15.1 what get by MBGC ?</w:t>
      </w:r>
      <w:bookmarkEnd w:id="20"/>
      <w:r w:rsidRPr="00E44F86">
        <w:rPr>
          <w:sz w:val="40"/>
          <w:szCs w:val="40"/>
          <w:lang w:val="en-US"/>
        </w:rPr>
        <w:t xml:space="preserve"> </w:t>
      </w:r>
    </w:p>
    <w:p w:rsidR="00E44F86" w:rsidRPr="00E44F86" w:rsidRDefault="00E44F86" w:rsidP="00E44F86">
      <w:pPr>
        <w:pStyle w:val="Titolo1"/>
        <w:jc w:val="right"/>
        <w:rPr>
          <w:sz w:val="40"/>
          <w:szCs w:val="40"/>
          <w:lang w:val="en-US"/>
        </w:rPr>
      </w:pPr>
      <w:bookmarkStart w:id="21" w:name="_Toc151759459"/>
      <w:r w:rsidRPr="00E44F86">
        <w:rPr>
          <w:sz w:val="40"/>
          <w:szCs w:val="40"/>
          <w:lang w:val="en-US"/>
        </w:rPr>
        <w:t>(Mini Bio Gas Continuous)</w:t>
      </w:r>
      <w:bookmarkEnd w:id="21"/>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E44F86">
      <w:pPr>
        <w:pStyle w:val="Titolo1"/>
        <w:rPr>
          <w:lang w:val="en-US"/>
        </w:rPr>
      </w:pPr>
      <w:bookmarkStart w:id="22" w:name="_Toc151759460"/>
      <w:r w:rsidRPr="00C51A45">
        <w:rPr>
          <w:lang w:val="en-US"/>
        </w:rPr>
        <w:t>Overview:</w:t>
      </w:r>
      <w:bookmarkEnd w:id="22"/>
      <w:r w:rsidRPr="00C51A45">
        <w:rPr>
          <w:lang w:val="en-US"/>
        </w:rPr>
        <w:t> </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As the necessity for sustainable growth becomes more and more apparent, countries throughout the world are currently dealing with serious environmental issues. The worldwide call to action in Sustainable Development Goal 15.1 highlights the critical task of striking a fine balance between preserving biodiversity and adopting sustainable land management. The nation navigating the challenges of environmental development and preservation is the main subject of this literary investigation.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 worldwide imperative: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Sustainable development is required in light of our shared responsibility to protecting the planet's natural integrity for present and future generations. Nations understand that </w:t>
      </w:r>
      <w:r w:rsidRPr="00C51A45">
        <w:rPr>
          <w:rFonts w:ascii="Times New Roman" w:hAnsi="Times New Roman" w:cs="Times New Roman"/>
          <w:sz w:val="24"/>
          <w:szCs w:val="24"/>
          <w:lang w:val="en-US"/>
        </w:rPr>
        <w:lastRenderedPageBreak/>
        <w:t>maintaining the environment and managing land responsibly are essential to guaranteeing the coexistence of humans and the natural world. As a beacon of hope, Sustainable Development Goal 15.1 highlights the critical need to stop the loss of biodiversity and safeguard ecosystems.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Vital Position: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Set against a backdrop of technical innovation, diverse biological landscapes, and a robust economy, this narrative unfolds in a nation exceptionally positioned to achieve SDG 15.1. This chapter delves into the intricate relationships linking communities to the natural world, woven into their cultural fabric, illuminating the country's steadfast commitment to biodiversity protection.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Disclosing the Ecological Tapestry: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A meticulous analysis of the country's ecological framework is essential to comprehend its progress toward the challenging Sustainable Development Goal 15.1. The biodiversity mirrors the delicate balance between society and nature, from serene landscapes adorned with blooming flowers to enigmatic wildlife in dense jungles. This chapter lays the foundation for a deeper exploration, enabling readers to immerse themselves in the distinctive </w:t>
      </w:r>
      <w:r w:rsidRPr="00C51A45">
        <w:rPr>
          <w:rFonts w:ascii="Times New Roman" w:hAnsi="Times New Roman" w:cs="Times New Roman"/>
          <w:sz w:val="24"/>
          <w:szCs w:val="24"/>
          <w:lang w:val="en-US"/>
        </w:rPr>
        <w:lastRenderedPageBreak/>
        <w:t>ecosystems shaping the nation and influencing its dedication to sustainable practices.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Innovative Techniques: The Foundation for Change: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This investigation places significant focus on innovative techniques as the bedrock of sustainable land management. At the forefront of technological advancement, the country's story unfolds through cutting-edge strategies and creative methods. We explore the inventive threads pointing toward a more sustainable future, from afforestation initiatives to pioneering conservation technology.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Recognizing SDG 15.1 and the Vision: An Ingenious and Biodiverse Tapestry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This nation, a crossroads of custom and innovation, deftly tells an enduring story. The story of Sustainable Development Goal 15.1 and the innovative idea for a ground-breaking solution arise from this intricate web, providing light on the nation's commitment to biodiversity preservation and sustainable land management.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Using Natural History to Illustrate Biodiversity: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nation becomes a thriving center with biodiversity as a prominent feature against the backdrop of its landscape. Verdant forests, varied ecosystems, and recognizable </w:t>
      </w:r>
      <w:r w:rsidRPr="00C51A45">
        <w:rPr>
          <w:rFonts w:ascii="Times New Roman" w:hAnsi="Times New Roman" w:cs="Times New Roman"/>
          <w:sz w:val="24"/>
          <w:szCs w:val="24"/>
          <w:lang w:val="en-US"/>
        </w:rPr>
        <w:lastRenderedPageBreak/>
        <w:t>wildlife come together to create a living monument to the natural world. Because of this biodiverse richness, achieving SDG 15.1 will need careful planning and attention to detail, which makes the commitment extremely important.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The Idea: A Harmonious Ecosystem:</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 bold concept illustrates the country's creative approach to environmental issues. According to the vision, organic waste will serve as a resource to fulfill SDG 15.1. The deliberate deployment of Mini Bio Gas Continuous (MBGC) units provides an eco-friendly means of converting organic waste into a valuable resource that bolsters biodiversity preservation.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Strategic Resilience with Caution: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sz w:val="24"/>
          <w:szCs w:val="24"/>
          <w:lang w:val="en-US"/>
        </w:rPr>
        <w:t>The nation's approach embodies a deeply ingrained ethos of intentional and purposeful sustainability, where innovation enhances natural diversity. This mindset underscores the nation's commitment to creating technologically advanced and ecologically sustainable solutions.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Global Guardianship:</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Positioning itself as a worldwide leader in biodiversity protection and sustainable land management amid the </w:t>
      </w:r>
      <w:r w:rsidRPr="00C51A45">
        <w:rPr>
          <w:rFonts w:ascii="Times New Roman" w:hAnsi="Times New Roman" w:cs="Times New Roman"/>
          <w:sz w:val="24"/>
          <w:szCs w:val="24"/>
          <w:lang w:val="en-US"/>
        </w:rPr>
        <w:lastRenderedPageBreak/>
        <w:t>pursuit of SDG 15.1, this country promises transformative impact on local issues and provides enlightening analysis and practical solutions to a global audience.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The Biodiversity Ecological Portrait Before SDG 15.1 Application: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It is crucial to outline the current state of this ecological tapestry before analyzing potential repercussions. The country boasts an astonishing array of flora and fauna, including unique species, creating a landscape that is culturally and environmentally rich. The nation's significant biological diversity and the delicate balance between nature and human existence vividly demonstrate the biodiversity, extending beyond a mere list of species.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Riches in Biodiversity: A National Treasure: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country's biodiversity serves as a living example of its profound biological diversity and the delicate equilibrium between nature and human life. It transcends being a mere list of species, deeply rooted in the nation's culture, encompassing historic sites and landscapes with vibrant colors. Each species contributes to the nation's narrative, enhancing its identity and soul.</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Taking on Unprecedented Risks: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Nevertheless, unprecedented threats loom over this biodiversity. Unsustainable land practices, climate change, and habitat loss jeopardize the delicate balance between species and ecosystems. With increasing urbanization and industrial activity, thriving ecosystems face the risk of extinction, necessitating rapid solutions and innovative approaches to ensure their survival.</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SDG 15.1 and the Future: A Hopeful Hint: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biodiversity finds cause for optimism in the forthcoming implementation of Sustainable Development Goal 15.1 within this framework. The country's innovative waste management and energy production approach have the potential to mitigate risks associated with unsustainable practices. Converting organic waste into bio-gas emerges as an effective solution to ecological risks, aligning with the principles of sustainable land management.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Preserving a Living Legacy: The Unwritten Part: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Anticipating the unwritten phase of the country's journey toward SDG 15.1, we envision a narrative where technological advancement and ecological preservation coexist.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lastRenderedPageBreak/>
        <w:t>Imagining Sustainable Land Use in the Framework of SDG 15.1:</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Mindful of the challenges posed by a changing climate and escalating human activity, the country champions sustainable land management. Rather than a passive response to environmental shifts, the commitment represents an intentional promise to construct a resilient future. The country's dedication to sustainable land practices becomes even more critical as technology and the unmet yet vital Sustainable Development Goal 15.1 draw nearer to reality.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 Comprehensive Approach:</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sz w:val="24"/>
          <w:szCs w:val="24"/>
          <w:lang w:val="en-US"/>
        </w:rPr>
        <w:t>The country's response acknowledges the interplay of human activity, climate change, and the delicate environmental balance, extending beyond immediate ecological issues. Well-crafted national policies prioritize the protection and restoration of ecosystems, ensuring the survival of the intricate web of life under increasing pressure.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Rebuilding Ecosystems: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Ecosystems, the intricate network of plants and animals, take center stage in the nation's dedication. As the country anticipates the implementation of SDG 15.1 and the </w:t>
      </w:r>
      <w:r w:rsidRPr="00C51A45">
        <w:rPr>
          <w:rFonts w:ascii="Times New Roman" w:hAnsi="Times New Roman" w:cs="Times New Roman"/>
          <w:sz w:val="24"/>
          <w:szCs w:val="24"/>
          <w:lang w:val="en-US"/>
        </w:rPr>
        <w:lastRenderedPageBreak/>
        <w:t>associated technologies, the emphasis on ecological restoration becomes increasingly vital. Ecosystems stressed by various human-induced factors will undergo a rejuvenation process, a commitment that technology can fulfill by converting organic waste into bio-gas.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Plans for Planting Trees: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country's forests, integral to its terrain, play a significant role in its approach to sustainable land management. Reforestation projects exemplify a progressive attitude and a commitment to building environmental resilience. Reforestation represents a proactive investment in the country's environmental future, aligning with the technology's goal of converting waste into a sustainable energy source.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Safety of Endangered Species: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country utilizes its playbook for sustainable land management to underscore the moral imperative of preserving endangered species. While technology is being implemented, biodiversity protection takes center stage. The waste-to-energy approach addresses the root causes of habitat degradation and promotes a more sustainable coexistence between wildlife and human activities, aligning with the commitment to protecting endangered species.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lastRenderedPageBreak/>
        <w:t>SDG 15.1: Navigating Unknown Seas: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As we delve into the country's approach to SDG 15.1 and the transformative potential of the technology, we venture into uncharted territory. Much remains to be learned about the objectives embedded in national programs, the intricacies of policy, and the synergistic relationship between environmental stewardship and technology. In the upcoming chapters, we intend to delve deeper into this journey and reveal the little-known tale of sustainable land management, which blends innovation and tradition to forge a future that satisfies everyone's requirements.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Choosing the Unknown Path:</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In the realm of sustainable land management, goals are well-defined, and commitment is unwavering. However, the next journey—a foray into uncharted territory—is evidence of the inventive spirit that characterizes the country's dedication to environmental stewardship. This chapter lays the groundwork for a transformative narrative by outlining the promise and uncertainties associated with the technology that has not yet been put into practice, as well as Sustainable Development Goal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Optimal Results, Uncertain Paths: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While the goals of sustainable land management are evident, how they will be achieved remains unclear. Envisioned solutions and technology have not yet realized their full potential due to the unpredictable environment created by the ambitious targets of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Unwritten Future: The Value of Innovative Methods: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In this uncharted territory, inventive approaches become even more crucial. The technology, an unexplored technical frontier, has the capacity to fundamentally change how the country approaches sustainable land management. Future technologies capable of converting organic waste into biogas are expected to transform waste management, viewing it as a resource rather than an issue, and bring about a radical shift in the way sustainable land management is carried out.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 xml:space="preserve">Bringing to Light the Potential for Improvement: </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There is a lot of risk involved in this voyage across the nation's many landscapes, but there is also a lot of room for improvement. There's the excitement of discovering something new combined with the fear of it not working out as planned. The country has a chance to lead the way in sustainable practises since technology has the potential to revolutionize waste management and energy production.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lastRenderedPageBreak/>
        <w:t>Anticipating Unwritten Chapters: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narrative entices readers to keep reading as it tells the story of how the global commitment to sustainable land management is changing.Every expedition into uncharted territory has the prospect of discovery, creativity, and a future where the hope of good change becomes a reality. Unwritten pages are ahead, pointing to a collaborative investigation of multiple opportunities for a peaceful and long-term coexistence of humans and the environment.</w:t>
      </w: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E44F86" w:rsidRDefault="00E44F86">
      <w:pPr>
        <w:rPr>
          <w:rFonts w:ascii="Times New Roman" w:eastAsiaTheme="majorEastAsia" w:hAnsi="Times New Roman" w:cstheme="majorBidi"/>
          <w:b/>
          <w:bCs/>
          <w:color w:val="365F91" w:themeColor="accent1" w:themeShade="BF"/>
          <w:sz w:val="28"/>
          <w:szCs w:val="28"/>
          <w:lang w:val="en-US"/>
        </w:rPr>
      </w:pPr>
      <w:r>
        <w:rPr>
          <w:lang w:val="en-US"/>
        </w:rPr>
        <w:br w:type="page"/>
      </w:r>
    </w:p>
    <w:p w:rsidR="00FA4F8B" w:rsidRPr="00C51A45" w:rsidRDefault="00FA4F8B" w:rsidP="00E44F86">
      <w:pPr>
        <w:pStyle w:val="Titolo1"/>
        <w:rPr>
          <w:lang w:val="en-US"/>
        </w:rPr>
      </w:pPr>
      <w:bookmarkStart w:id="23" w:name="_Toc151759461"/>
      <w:r w:rsidRPr="00C51A45">
        <w:rPr>
          <w:lang w:val="en-US"/>
        </w:rPr>
        <w:lastRenderedPageBreak/>
        <w:t>Comprehending MBGC and SDG 15.1</w:t>
      </w:r>
      <w:bookmarkEnd w:id="23"/>
    </w:p>
    <w:p w:rsidR="00E44F86" w:rsidRDefault="00E44F86" w:rsidP="00C51A45">
      <w:pPr>
        <w:jc w:val="both"/>
        <w:rPr>
          <w:rFonts w:ascii="Times New Roman" w:hAnsi="Times New Roman" w:cs="Times New Roman"/>
          <w:b/>
          <w:sz w:val="24"/>
          <w:szCs w:val="24"/>
          <w:lang w:val="en-US"/>
        </w:rPr>
      </w:pP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The Vital Exchange: Biodiversity and the Potential Effects of MBGC and SDG 15.1</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world is home to a diverse range of ecosystems and landscapes, from large northern regions to tropical islands. The resiliency, sense of self, and economic sustainability of individual countries depend heavily on this diversity. We explore a narrative that emphasises the critical need to protect this natural treasure, delving into the complex relationships between global biodiversity, the yet-to-be-implemented Mini Bio Gas Continuous (MBGC), and Sustainable Development Goal 15.1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Harmony between Environmental Impact and Cultural Identity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Distinctive flora and fauna are vital to numerous societies across the world, fostering a strong bond between people and the natural environment. It is a source of pride that this symbiosis represents a long-standing conviction in the peaceful coexistence of humans and the environment.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Ecosystem Services: The Quiet Foundations of Health and Happiness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Numerous silent ecological services provided by global ecosystems support national prosperity. Biodiversity is vital to environmental resilience for a variety of reasons, including pollination that promotes agricultural abundance, climate regulation that protects against extreme events, and water purification that guarantees clean resources. It acts as a natural infrastructure, supporting life and establishing stable ecosystems.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Beyond Ecology: Economic Resilience and Sustainable Development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value of biodiversity extends beyond natural domains, entwined with the world economy. Industries like forestry, fishing, and agriculture globally depend on healthy ecosystems. Biodiversity stands as one of the main pillars supporting the sustainability of many economic sectors. The MBGC addresses waste management and promotes sustainable energy production in line with economic imperatives.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Urbanization, Climate Change, and the Need to Protect Biodiversity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threats posed by industrialization, urbanization, and climate change on a global scale make biodiversity preservation not only ecologically but also strategically imperative. Progress and environmental conservation must </w:t>
      </w:r>
      <w:r w:rsidRPr="00C51A45">
        <w:rPr>
          <w:rFonts w:ascii="Times New Roman" w:hAnsi="Times New Roman" w:cs="Times New Roman"/>
          <w:sz w:val="24"/>
          <w:szCs w:val="24"/>
          <w:lang w:val="en-US"/>
        </w:rPr>
        <w:lastRenderedPageBreak/>
        <w:t>be balanced. A worldwide strategy for resilience needs to be committed to SDG 15.1 and take the MBGC into account.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MBGC and SDG 15.1: A Shared Vision for a Sustainable Future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Examining how the MBGC's innovative waste-to-energy plan and SDG 15.1's objectives can cooperate with global biodiversity helps us imagine a day where technology, economic expansion, and environmental preservation all work together to create a resilient and sustainable global community.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Preserving Uniqueness: Unique Ecosystems and the Anticipated Impact of MBGC on SDG 15.1 Worldwide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Due to the planet's diverse topography, there is an incredible diversity of ecosystems that support the world's extraordinary biological richness. Numerous indigenous species serve as illustrations of biological uniqueness. Studying the ambitious but unachieved Mini Bio Gas Continuous (MBGC) and Sustainable Development Goal 15.1 (SDG 15.1) contributes to our understanding of the distinctive features of these ecosystems and the possible outcomes of innovative approaches.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 Perspective on Diversity: Global Ecosystems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Globally, diverse ecosystems serve as a testament to geographic diversity. These ecosystems, ranging from coastal mangroves that create a dynamic interaction between land and sea to alpine meadows that breathe rarefied air, form a living painting that sets Earth apart on the global biological stage.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Wonders of Nature: The Importance of Strange Species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Natural history-representing organisms can be found in environments all around the world. The fragmentation of habitats, pollution, invasive species, and climate change present unprecedented challenges to the protection of these species and ecosystems. For the purpose of protecting global biodiversity, it is imperative to recognize the complexities of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The Unavoidable Balancing Issues: The Hidden Dangers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Challenges to delicate equilibrium in varied ecosystems worldwide include invasive species, pollution, habitat fragmentation, and climate change. In light of global SDG 15.1, it is imperative to acknowledge the fragility of natural ecosystems and emphasize the need for creative solutions.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lastRenderedPageBreak/>
        <w:t>Looking Ahead: MBGC as an Activator and SDG 15.1</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Within this perspective, the unfulfilled MBGC and the global goals of SDG 15.1 hold great potential as catalysts for progress. The MBGC, aligning with SDG 15.1, offers a sustainable solution to challenges posed by pollution and habitat fragmentation globally by converting organic waste into bio-gas.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Examining the Story: Seizing the Future by Storm</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In the forthcoming chapters, we will examine how the MBGC, in conjunction with SDG 15.1, could support the conservation and restoration of the world's diverse ecosystems. This vision reflects a future in which ecological stewardship, innovation, and the planet's unique biological heritage collaborate to create a sustainable legacy.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Global Framework for Preserving Biodiversity and Adhering to SDG 15.1</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dedication to Sustainable Development Goal 15.1 (SDG 15.1) displays a commitment to the protection and sustainable use of global inland and terrestrial freshwater ecosystems at a time when climate change and biodiversity loss are becoming global challenges. This dedication represents a global culture that understands that </w:t>
      </w:r>
      <w:r w:rsidRPr="00C51A45">
        <w:rPr>
          <w:rFonts w:ascii="Times New Roman" w:hAnsi="Times New Roman" w:cs="Times New Roman"/>
          <w:sz w:val="24"/>
          <w:szCs w:val="24"/>
          <w:lang w:val="en-US"/>
        </w:rPr>
        <w:lastRenderedPageBreak/>
        <w:t>future growth depends on coexisting with the environment.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Conservation is Required; Recognize Its Critical Significance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 proactive worldwide strategy for the preservation of freshwater and terrestrial ecosystems is imperative, considering the wide variety of fauna and unique topography found worldwide. In order to guarantee that these ecosystems continue to flourish rather than disappear, it is imperative that their significance as essential bases of ecological health be acknowledged on a worldwide scale.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Ambitious Biodiversity Indicators: An International Agenda</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SDG 15.1 is a true commitment to halting the loss of biodiversity worldwide by 2030 using audacious measures. The world's commitments to reduce pollution, stop habitat loss, and promote sustainable land management are meant to clear the path for a future in which life is more abundant and diversified.</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Global Ethos: Harmony with the Natural World</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Commitment to global SDG 15.1 is a reflection of a common belief that coexisting peacefully with nature is </w:t>
      </w:r>
      <w:r w:rsidRPr="00C51A45">
        <w:rPr>
          <w:rFonts w:ascii="Times New Roman" w:hAnsi="Times New Roman" w:cs="Times New Roman"/>
          <w:sz w:val="24"/>
          <w:szCs w:val="24"/>
          <w:lang w:val="en-US"/>
        </w:rPr>
        <w:lastRenderedPageBreak/>
        <w:t>not only a noble objective but also a necessary one. This ethos recognizes the direct influence on the resilience of global society, economic progress, and cultural identity, as well as the strong relationship between environmental health and societal well-being. A pledge to uphold this interdependence is contained in the commitment.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Beyond National Lines: An International Responsibility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Beyond national boundaries commitment to accomplishing SDG 15.1 is in line with worldwide campaigns to save biodiversity worldwide and guarantee a sustainable future for all. This global stance emphasizes the necessity for collaborative efforts to discover answers and for individuals to participate as global stewards in recognition of the interconnectedness of environmental issues.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SDG 15.1's Technological Companion: The MBGC Vision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Next chapters will examine the alignment between the Mini Bio Gas Continuous (MBGC), which is presently under development, and the global SDG 15.1. Through the use of cutting-edge technology, the MBGC's innovative waste-to-energy approach has the potential to support international efforts to protect biodiversity and practice sustainable land management. It is anticipated that the </w:t>
      </w:r>
      <w:r w:rsidRPr="00C51A45">
        <w:rPr>
          <w:rFonts w:ascii="Times New Roman" w:hAnsi="Times New Roman" w:cs="Times New Roman"/>
          <w:sz w:val="24"/>
          <w:szCs w:val="24"/>
          <w:lang w:val="en-US"/>
        </w:rPr>
        <w:lastRenderedPageBreak/>
        <w:t>story will demonstrate how environmental conservation and technology advancement may coexist peacefully, opening the door to a more resilient and sustainable future for all people on the planet.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Global Leaders in Biodiversity Conservation Initiative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Carefully crafted international policies in line with Sustainable Development Goal 15.1 (SDG 15.1) are one way to turn commitment into tangible action. These rules show how proactive the world is at promoting biodiversity preservation and sustainable land management. These programs, which range from habitat restoration to the inclusion of biodiversity considerations in sectoral policy, constitute a comprehensive and multifaceted worldwide approach to tackle the root causes of biodiversity loss.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Wholesome Repair: Rehabilitating Environments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Focusing on habitat restoration initiatives globally is consistent with the commitment to SDG 15.1. These initiatives, which are outlined in international policies, seek to repair damaged habitats and revive ecosystems that have suffered from human activities. Recognizing the dynamic interaction between ecosystems and the species they support, the objective is to actively improve and restore habitats in addition to protecting the biodiversity that exists now.</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lastRenderedPageBreak/>
        <w:t>Environmental Guardians: Establishing Protected Areas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Creating protected areas is a crucial part of international plans for the preservation of biodiversity. Wildlife and plants find refuge in these especially designated places, where they are shielded from human encroachment. The pledge to create protected areas shows that people everywhere recognize the need to preserve areas where biodiversity may flourish unimpeded, enhancing the planet's resilience.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Promoting Green Infrastructure: Balancing Development and Nature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Global policies embrace the concept of "green infrastructure," surpassing conventional conservation techniques. This innovative project aims to harmonize development with nature by integrating natural components into industrial and urban landscapes. The strategy envisions a future where infrastructure projects consider biodiversity, promoting the cohabitation of ecological sustainability with human progress.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Integrating Sectors: Incorporating Biodiversity into Mainstream Policies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A notable feature of global policies is the incorporation of biodiversity considerations into different industries. Recognizing that biodiversity affects industries globally, the goal of mainstreaming conservation efforts through the incorporation of biodiversity issues into sectoral policy is to ensure economic activities align with ecological sustainability.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Educational Efforts:Promoting a Global Conservation Culture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Global commitment includes educational initiatives that promote a conservation mindset around the globe. At all societal levels, these initiatives seek to increase understanding of the importance of biodiversity and sustainable land management. As people grow more conscious and accountable on a global scale, education becomes a powerful tool for equipping them to take care of the planet's natural inheritance.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Challenges in the Execution of Policies: A Realistic Approach</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Policies are a great idea, but it's important to recognize that there will be issues when they are eventually implemented globally. It is important to overcome societal dynamics, economic factors, and real-world complexity. Acknowledging these challenges is the first step in </w:t>
      </w:r>
      <w:r w:rsidRPr="00C51A45">
        <w:rPr>
          <w:rFonts w:ascii="Times New Roman" w:hAnsi="Times New Roman" w:cs="Times New Roman"/>
          <w:sz w:val="24"/>
          <w:szCs w:val="24"/>
          <w:lang w:val="en-US"/>
        </w:rPr>
        <w:lastRenderedPageBreak/>
        <w:t>creating strategies to deal with and get over obstacles in the way of long-term, sustainable global biodiversity conservation.</w:t>
      </w: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E44F86" w:rsidRDefault="00E44F86">
      <w:pP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br w:type="page"/>
      </w:r>
    </w:p>
    <w:p w:rsidR="00FA4F8B" w:rsidRPr="00C51A45" w:rsidRDefault="00FA4F8B" w:rsidP="00E44F86">
      <w:pPr>
        <w:pStyle w:val="Titolo1"/>
        <w:rPr>
          <w:lang w:val="en-US"/>
        </w:rPr>
      </w:pPr>
      <w:bookmarkStart w:id="24" w:name="_Toc151759462"/>
      <w:r w:rsidRPr="00C51A45">
        <w:rPr>
          <w:lang w:val="en-US"/>
        </w:rPr>
        <w:lastRenderedPageBreak/>
        <w:t>In-Depth Explanation of Sustainable Land Management</w:t>
      </w:r>
      <w:bookmarkEnd w:id="24"/>
    </w:p>
    <w:p w:rsidR="00E44F86" w:rsidRDefault="00E44F86" w:rsidP="00C51A45">
      <w:pPr>
        <w:jc w:val="both"/>
        <w:rPr>
          <w:rFonts w:ascii="Times New Roman" w:hAnsi="Times New Roman" w:cs="Times New Roman"/>
          <w:b/>
          <w:sz w:val="24"/>
          <w:szCs w:val="24"/>
          <w:lang w:val="en-US"/>
        </w:rPr>
      </w:pPr>
    </w:p>
    <w:p w:rsidR="00FA4F8B" w:rsidRPr="00C51A45" w:rsidRDefault="00FA4F8B" w:rsidP="00524445">
      <w:pPr>
        <w:pStyle w:val="Titolo1"/>
        <w:rPr>
          <w:lang w:val="en-US"/>
        </w:rPr>
      </w:pPr>
      <w:bookmarkStart w:id="25" w:name="_Toc151759463"/>
      <w:r w:rsidRPr="00C51A45">
        <w:rPr>
          <w:lang w:val="en-US"/>
        </w:rPr>
        <w:t>In-depth analysis of the MBGC - Digester Patent and SDG15.1</w:t>
      </w:r>
      <w:bookmarkEnd w:id="25"/>
    </w:p>
    <w:p w:rsidR="00524445" w:rsidRDefault="00524445" w:rsidP="00C51A45">
      <w:pPr>
        <w:jc w:val="both"/>
        <w:rPr>
          <w:rFonts w:ascii="Times New Roman" w:hAnsi="Times New Roman" w:cs="Times New Roman"/>
          <w:b/>
          <w:sz w:val="24"/>
          <w:szCs w:val="24"/>
          <w:lang w:val="en-US"/>
        </w:rPr>
      </w:pP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Title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Method for Anaerobic Digestion and Device for Using Said Method</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Abstract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patent describes a method and apparatus for selectively extracting methane, carbon dioxide, NPK salts, and clarified water from degrading organic matrices. These parts turn into crucial raw materials for a variety of industrial processes.</w:t>
      </w: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Description</w:t>
      </w:r>
    </w:p>
    <w:p w:rsidR="00FA4F8B" w:rsidRPr="00C51A45" w:rsidRDefault="00FA4F8B" w:rsidP="00C51A45">
      <w:pPr>
        <w:jc w:val="both"/>
        <w:rPr>
          <w:rFonts w:ascii="Times New Roman" w:hAnsi="Times New Roman" w:cs="Times New Roman"/>
          <w:color w:val="000000"/>
          <w:sz w:val="24"/>
          <w:szCs w:val="24"/>
          <w:shd w:val="clear" w:color="auto" w:fill="FFFFFF"/>
          <w:lang w:val="en-US"/>
        </w:rPr>
      </w:pPr>
      <w:r w:rsidRPr="00C51A45">
        <w:rPr>
          <w:rFonts w:ascii="Times New Roman" w:hAnsi="Times New Roman" w:cs="Times New Roman"/>
          <w:color w:val="000000"/>
          <w:sz w:val="24"/>
          <w:szCs w:val="24"/>
          <w:shd w:val="clear" w:color="auto" w:fill="FFFFFF"/>
          <w:lang w:val="en-US"/>
        </w:rPr>
        <w:t xml:space="preserve">The description </w:t>
      </w:r>
      <w:r w:rsidRPr="00C51A45">
        <w:rPr>
          <w:rFonts w:ascii="Times New Roman" w:hAnsi="Times New Roman" w:cs="Times New Roman"/>
          <w:bCs/>
          <w:color w:val="000000"/>
          <w:sz w:val="24"/>
          <w:szCs w:val="24"/>
          <w:shd w:val="clear" w:color="auto" w:fill="FFFFFF"/>
          <w:lang w:val="en-US"/>
        </w:rPr>
        <w:t>gives</w:t>
      </w:r>
      <w:r w:rsidRPr="00C51A45">
        <w:rPr>
          <w:rFonts w:ascii="Times New Roman" w:hAnsi="Times New Roman" w:cs="Times New Roman"/>
          <w:color w:val="000000"/>
          <w:sz w:val="24"/>
          <w:szCs w:val="24"/>
          <w:shd w:val="clear" w:color="auto" w:fill="FFFFFF"/>
          <w:lang w:val="en-US"/>
        </w:rPr>
        <w:t xml:space="preserve"> a detailed </w:t>
      </w:r>
      <w:r w:rsidRPr="00C51A45">
        <w:rPr>
          <w:rFonts w:ascii="Times New Roman" w:hAnsi="Times New Roman" w:cs="Times New Roman"/>
          <w:bCs/>
          <w:color w:val="000000"/>
          <w:sz w:val="24"/>
          <w:szCs w:val="24"/>
          <w:shd w:val="clear" w:color="auto" w:fill="FFFFFF"/>
          <w:lang w:val="en-US"/>
        </w:rPr>
        <w:t>overview</w:t>
      </w:r>
      <w:r w:rsidRPr="00C51A45">
        <w:rPr>
          <w:rFonts w:ascii="Times New Roman" w:hAnsi="Times New Roman" w:cs="Times New Roman"/>
          <w:color w:val="000000"/>
          <w:sz w:val="24"/>
          <w:szCs w:val="24"/>
          <w:shd w:val="clear" w:color="auto" w:fill="FFFFFF"/>
          <w:lang w:val="en-US"/>
        </w:rPr>
        <w:t xml:space="preserve"> of the entire process and </w:t>
      </w:r>
      <w:r w:rsidRPr="00C51A45">
        <w:rPr>
          <w:rFonts w:ascii="Times New Roman" w:hAnsi="Times New Roman" w:cs="Times New Roman"/>
          <w:bCs/>
          <w:color w:val="000000"/>
          <w:sz w:val="24"/>
          <w:szCs w:val="24"/>
          <w:shd w:val="clear" w:color="auto" w:fill="FFFFFF"/>
          <w:lang w:val="en-US"/>
        </w:rPr>
        <w:t>associated equipment.</w:t>
      </w:r>
      <w:r w:rsidRPr="00C51A45">
        <w:rPr>
          <w:rFonts w:ascii="Times New Roman" w:hAnsi="Times New Roman" w:cs="Times New Roman"/>
          <w:color w:val="000000"/>
          <w:sz w:val="24"/>
          <w:szCs w:val="24"/>
          <w:shd w:val="clear" w:color="auto" w:fill="FFFFFF"/>
          <w:lang w:val="en-US"/>
        </w:rPr>
        <w:t xml:space="preserve"> It delves into the execution of each </w:t>
      </w:r>
      <w:r w:rsidRPr="00C51A45">
        <w:rPr>
          <w:rFonts w:ascii="Times New Roman" w:hAnsi="Times New Roman" w:cs="Times New Roman"/>
          <w:bCs/>
          <w:color w:val="000000"/>
          <w:sz w:val="24"/>
          <w:szCs w:val="24"/>
          <w:shd w:val="clear" w:color="auto" w:fill="FFFFFF"/>
          <w:lang w:val="en-US"/>
        </w:rPr>
        <w:t>step and highlights</w:t>
      </w:r>
      <w:r w:rsidRPr="00C51A45">
        <w:rPr>
          <w:rFonts w:ascii="Times New Roman" w:hAnsi="Times New Roman" w:cs="Times New Roman"/>
          <w:color w:val="000000"/>
          <w:sz w:val="24"/>
          <w:szCs w:val="24"/>
          <w:shd w:val="clear" w:color="auto" w:fill="FFFFFF"/>
          <w:lang w:val="en-US"/>
        </w:rPr>
        <w:t xml:space="preserve"> the critical biological processes </w:t>
      </w:r>
      <w:r w:rsidRPr="00C51A45">
        <w:rPr>
          <w:rFonts w:ascii="Times New Roman" w:hAnsi="Times New Roman" w:cs="Times New Roman"/>
          <w:bCs/>
          <w:color w:val="000000"/>
          <w:sz w:val="24"/>
          <w:szCs w:val="24"/>
          <w:shd w:val="clear" w:color="auto" w:fill="FFFFFF"/>
          <w:lang w:val="en-US"/>
        </w:rPr>
        <w:t>to which</w:t>
      </w:r>
      <w:r w:rsidRPr="00C51A45">
        <w:rPr>
          <w:rFonts w:ascii="Times New Roman" w:hAnsi="Times New Roman" w:cs="Times New Roman"/>
          <w:color w:val="000000"/>
          <w:sz w:val="24"/>
          <w:szCs w:val="24"/>
          <w:shd w:val="clear" w:color="auto" w:fill="FFFFFF"/>
          <w:lang w:val="en-US"/>
        </w:rPr>
        <w:t xml:space="preserve"> specific </w:t>
      </w:r>
      <w:r w:rsidRPr="00C51A45">
        <w:rPr>
          <w:rFonts w:ascii="Times New Roman" w:hAnsi="Times New Roman" w:cs="Times New Roman"/>
          <w:bCs/>
          <w:color w:val="000000"/>
          <w:sz w:val="24"/>
          <w:szCs w:val="24"/>
          <w:shd w:val="clear" w:color="auto" w:fill="FFFFFF"/>
          <w:lang w:val="en-US"/>
        </w:rPr>
        <w:t>microorganisms contribute.</w:t>
      </w:r>
    </w:p>
    <w:p w:rsidR="00FA4F8B" w:rsidRPr="00C51A45" w:rsidRDefault="00FA4F8B" w:rsidP="00C51A45">
      <w:pPr>
        <w:jc w:val="both"/>
        <w:rPr>
          <w:rFonts w:ascii="Times New Roman" w:hAnsi="Times New Roman" w:cs="Times New Roman"/>
          <w:color w:val="000000"/>
          <w:sz w:val="24"/>
          <w:szCs w:val="24"/>
          <w:shd w:val="clear" w:color="auto" w:fill="FFFFFF"/>
          <w:lang w:val="en-US"/>
        </w:rPr>
      </w:pPr>
      <w:r w:rsidRPr="00C51A45">
        <w:rPr>
          <w:rFonts w:ascii="Times New Roman" w:hAnsi="Times New Roman" w:cs="Times New Roman"/>
          <w:b/>
          <w:color w:val="000000"/>
          <w:sz w:val="24"/>
          <w:szCs w:val="24"/>
          <w:shd w:val="clear" w:color="auto" w:fill="FFFFFF"/>
          <w:lang w:val="en-US"/>
        </w:rPr>
        <w:lastRenderedPageBreak/>
        <w:t xml:space="preserve">Hydrolytic </w:t>
      </w:r>
      <w:r w:rsidRPr="00C51A45">
        <w:rPr>
          <w:rFonts w:ascii="Times New Roman" w:hAnsi="Times New Roman" w:cs="Times New Roman"/>
          <w:b/>
          <w:bCs/>
          <w:color w:val="000000"/>
          <w:sz w:val="24"/>
          <w:szCs w:val="24"/>
          <w:shd w:val="clear" w:color="auto" w:fill="FFFFFF"/>
          <w:lang w:val="en-US"/>
        </w:rPr>
        <w:t>Stage:</w:t>
      </w:r>
      <w:r w:rsidRPr="00C51A45">
        <w:rPr>
          <w:rFonts w:ascii="Times New Roman" w:hAnsi="Times New Roman" w:cs="Times New Roman"/>
          <w:color w:val="000000"/>
          <w:sz w:val="24"/>
          <w:szCs w:val="24"/>
          <w:shd w:val="clear" w:color="auto" w:fill="FFFFFF"/>
          <w:lang w:val="en-US"/>
        </w:rPr>
        <w:t xml:space="preserve"> This initial </w:t>
      </w:r>
      <w:r w:rsidRPr="00C51A45">
        <w:rPr>
          <w:rFonts w:ascii="Times New Roman" w:hAnsi="Times New Roman" w:cs="Times New Roman"/>
          <w:bCs/>
          <w:color w:val="000000"/>
          <w:sz w:val="24"/>
          <w:szCs w:val="24"/>
          <w:shd w:val="clear" w:color="auto" w:fill="FFFFFF"/>
          <w:lang w:val="en-US"/>
        </w:rPr>
        <w:t>stage</w:t>
      </w:r>
      <w:r w:rsidRPr="00C51A45">
        <w:rPr>
          <w:rFonts w:ascii="Times New Roman" w:hAnsi="Times New Roman" w:cs="Times New Roman"/>
          <w:color w:val="000000"/>
          <w:sz w:val="24"/>
          <w:szCs w:val="24"/>
          <w:shd w:val="clear" w:color="auto" w:fill="FFFFFF"/>
          <w:lang w:val="en-US"/>
        </w:rPr>
        <w:t xml:space="preserve"> involves the </w:t>
      </w:r>
      <w:r w:rsidRPr="00C51A45">
        <w:rPr>
          <w:rFonts w:ascii="Times New Roman" w:hAnsi="Times New Roman" w:cs="Times New Roman"/>
          <w:bCs/>
          <w:color w:val="000000"/>
          <w:sz w:val="24"/>
          <w:szCs w:val="24"/>
          <w:shd w:val="clear" w:color="auto" w:fill="FFFFFF"/>
          <w:lang w:val="en-US"/>
        </w:rPr>
        <w:t>cleavage</w:t>
      </w:r>
      <w:r w:rsidRPr="00C51A45">
        <w:rPr>
          <w:rFonts w:ascii="Times New Roman" w:hAnsi="Times New Roman" w:cs="Times New Roman"/>
          <w:color w:val="000000"/>
          <w:sz w:val="24"/>
          <w:szCs w:val="24"/>
          <w:shd w:val="clear" w:color="auto" w:fill="FFFFFF"/>
          <w:lang w:val="en-US"/>
        </w:rPr>
        <w:t xml:space="preserve"> process </w:t>
      </w:r>
      <w:r w:rsidRPr="00C51A45">
        <w:rPr>
          <w:rFonts w:ascii="Times New Roman" w:hAnsi="Times New Roman" w:cs="Times New Roman"/>
          <w:bCs/>
          <w:color w:val="000000"/>
          <w:sz w:val="24"/>
          <w:szCs w:val="24"/>
          <w:shd w:val="clear" w:color="auto" w:fill="FFFFFF"/>
          <w:lang w:val="en-US"/>
        </w:rPr>
        <w:t>by hydration</w:t>
      </w:r>
      <w:r w:rsidRPr="00C51A45">
        <w:rPr>
          <w:rFonts w:ascii="Times New Roman" w:hAnsi="Times New Roman" w:cs="Times New Roman"/>
          <w:color w:val="000000"/>
          <w:sz w:val="24"/>
          <w:szCs w:val="24"/>
          <w:shd w:val="clear" w:color="auto" w:fill="FFFFFF"/>
          <w:lang w:val="en-US"/>
        </w:rPr>
        <w:t xml:space="preserve"> facilitated by water. </w:t>
      </w:r>
      <w:r w:rsidRPr="00C51A45">
        <w:rPr>
          <w:rFonts w:ascii="Times New Roman" w:hAnsi="Times New Roman" w:cs="Times New Roman"/>
          <w:bCs/>
          <w:color w:val="000000"/>
          <w:sz w:val="24"/>
          <w:szCs w:val="24"/>
          <w:shd w:val="clear" w:color="auto" w:fill="FFFFFF"/>
          <w:lang w:val="en-US"/>
        </w:rPr>
        <w:t>This</w:t>
      </w:r>
      <w:r w:rsidRPr="00C51A45">
        <w:rPr>
          <w:rFonts w:ascii="Times New Roman" w:hAnsi="Times New Roman" w:cs="Times New Roman"/>
          <w:color w:val="000000"/>
          <w:sz w:val="24"/>
          <w:szCs w:val="24"/>
          <w:shd w:val="clear" w:color="auto" w:fill="FFFFFF"/>
          <w:lang w:val="en-US"/>
        </w:rPr>
        <w:t xml:space="preserve"> sets the stage for subsequent biochemical reactions. During this </w:t>
      </w:r>
      <w:r w:rsidRPr="00C51A45">
        <w:rPr>
          <w:rFonts w:ascii="Times New Roman" w:hAnsi="Times New Roman" w:cs="Times New Roman"/>
          <w:bCs/>
          <w:color w:val="000000"/>
          <w:sz w:val="24"/>
          <w:szCs w:val="24"/>
          <w:shd w:val="clear" w:color="auto" w:fill="FFFFFF"/>
          <w:lang w:val="en-US"/>
        </w:rPr>
        <w:t>step,</w:t>
      </w:r>
      <w:r w:rsidRPr="00C51A45">
        <w:rPr>
          <w:rFonts w:ascii="Times New Roman" w:hAnsi="Times New Roman" w:cs="Times New Roman"/>
          <w:color w:val="000000"/>
          <w:sz w:val="24"/>
          <w:szCs w:val="24"/>
          <w:shd w:val="clear" w:color="auto" w:fill="FFFFFF"/>
          <w:lang w:val="en-US"/>
        </w:rPr>
        <w:t xml:space="preserve"> organic compounds are broken down into simpler molecules </w:t>
      </w:r>
      <w:r w:rsidRPr="00C51A45">
        <w:rPr>
          <w:rFonts w:ascii="Times New Roman" w:hAnsi="Times New Roman" w:cs="Times New Roman"/>
          <w:bCs/>
          <w:color w:val="000000"/>
          <w:sz w:val="24"/>
          <w:szCs w:val="24"/>
          <w:shd w:val="clear" w:color="auto" w:fill="FFFFFF"/>
          <w:lang w:val="en-US"/>
        </w:rPr>
        <w:t>by adding</w:t>
      </w:r>
      <w:r w:rsidRPr="00C51A45">
        <w:rPr>
          <w:rFonts w:ascii="Times New Roman" w:hAnsi="Times New Roman" w:cs="Times New Roman"/>
          <w:color w:val="000000"/>
          <w:sz w:val="24"/>
          <w:szCs w:val="24"/>
          <w:shd w:val="clear" w:color="auto" w:fill="FFFFFF"/>
          <w:lang w:val="en-US"/>
        </w:rPr>
        <w:t xml:space="preserve"> water molecules. This </w:t>
      </w:r>
      <w:r w:rsidRPr="00C51A45">
        <w:rPr>
          <w:rFonts w:ascii="Times New Roman" w:hAnsi="Times New Roman" w:cs="Times New Roman"/>
          <w:bCs/>
          <w:color w:val="000000"/>
          <w:sz w:val="24"/>
          <w:szCs w:val="24"/>
          <w:shd w:val="clear" w:color="auto" w:fill="FFFFFF"/>
          <w:lang w:val="en-US"/>
        </w:rPr>
        <w:t>important</w:t>
      </w:r>
      <w:r w:rsidRPr="00C51A45">
        <w:rPr>
          <w:rFonts w:ascii="Times New Roman" w:hAnsi="Times New Roman" w:cs="Times New Roman"/>
          <w:color w:val="000000"/>
          <w:sz w:val="24"/>
          <w:szCs w:val="24"/>
          <w:shd w:val="clear" w:color="auto" w:fill="FFFFFF"/>
          <w:lang w:val="en-US"/>
        </w:rPr>
        <w:t xml:space="preserve"> step not only initiates the </w:t>
      </w:r>
      <w:r w:rsidRPr="00C51A45">
        <w:rPr>
          <w:rFonts w:ascii="Times New Roman" w:hAnsi="Times New Roman" w:cs="Times New Roman"/>
          <w:bCs/>
          <w:color w:val="000000"/>
          <w:sz w:val="24"/>
          <w:szCs w:val="24"/>
          <w:shd w:val="clear" w:color="auto" w:fill="FFFFFF"/>
          <w:lang w:val="en-US"/>
        </w:rPr>
        <w:t>decomposition process,</w:t>
      </w:r>
      <w:r w:rsidRPr="00C51A45">
        <w:rPr>
          <w:rFonts w:ascii="Times New Roman" w:hAnsi="Times New Roman" w:cs="Times New Roman"/>
          <w:color w:val="000000"/>
          <w:sz w:val="24"/>
          <w:szCs w:val="24"/>
          <w:shd w:val="clear" w:color="auto" w:fill="FFFFFF"/>
          <w:lang w:val="en-US"/>
        </w:rPr>
        <w:t xml:space="preserve"> but also </w:t>
      </w:r>
      <w:r w:rsidRPr="00C51A45">
        <w:rPr>
          <w:rFonts w:ascii="Times New Roman" w:hAnsi="Times New Roman" w:cs="Times New Roman"/>
          <w:bCs/>
          <w:color w:val="000000"/>
          <w:sz w:val="24"/>
          <w:szCs w:val="24"/>
          <w:shd w:val="clear" w:color="auto" w:fill="FFFFFF"/>
          <w:lang w:val="en-US"/>
        </w:rPr>
        <w:t>prepares</w:t>
      </w:r>
      <w:r w:rsidRPr="00C51A45">
        <w:rPr>
          <w:rFonts w:ascii="Times New Roman" w:hAnsi="Times New Roman" w:cs="Times New Roman"/>
          <w:color w:val="000000"/>
          <w:sz w:val="24"/>
          <w:szCs w:val="24"/>
          <w:shd w:val="clear" w:color="auto" w:fill="FFFFFF"/>
          <w:lang w:val="en-US"/>
        </w:rPr>
        <w:t xml:space="preserve"> the organic matrix for </w:t>
      </w:r>
      <w:r w:rsidRPr="00C51A45">
        <w:rPr>
          <w:rFonts w:ascii="Times New Roman" w:hAnsi="Times New Roman" w:cs="Times New Roman"/>
          <w:bCs/>
          <w:color w:val="000000"/>
          <w:sz w:val="24"/>
          <w:szCs w:val="24"/>
          <w:shd w:val="clear" w:color="auto" w:fill="FFFFFF"/>
          <w:lang w:val="en-US"/>
        </w:rPr>
        <w:t>subsequent decomposition steps.</w:t>
      </w:r>
    </w:p>
    <w:p w:rsidR="00FA4F8B" w:rsidRPr="00C51A45" w:rsidRDefault="00FA4F8B" w:rsidP="00C51A45">
      <w:pPr>
        <w:pStyle w:val="Paragrafoelenco"/>
        <w:numPr>
          <w:ilvl w:val="0"/>
          <w:numId w:val="1"/>
        </w:numPr>
        <w:ind w:left="0"/>
        <w:jc w:val="both"/>
        <w:rPr>
          <w:rFonts w:ascii="Times New Roman" w:hAnsi="Times New Roman" w:cs="Times New Roman"/>
          <w:color w:val="000000"/>
          <w:sz w:val="24"/>
          <w:szCs w:val="24"/>
          <w:shd w:val="clear" w:color="auto" w:fill="FFFFFF"/>
        </w:rPr>
      </w:pPr>
      <w:r w:rsidRPr="00C51A45">
        <w:rPr>
          <w:rFonts w:ascii="Times New Roman" w:hAnsi="Times New Roman" w:cs="Times New Roman"/>
          <w:color w:val="000000"/>
          <w:sz w:val="24"/>
          <w:szCs w:val="24"/>
          <w:shd w:val="clear" w:color="auto" w:fill="FFFFFF"/>
        </w:rPr>
        <w:t>Biological Reactions:Enzymes released by hydrolytic bacteria play an important role in this phase of biological reactions. These enzymes degrade complex organic components like carbohydrates, proteins, and lipids into simpler molecules like sugars, amino acids, and fatty acids.</w:t>
      </w:r>
    </w:p>
    <w:p w:rsidR="00FA4F8B" w:rsidRPr="00C51A45" w:rsidRDefault="00FA4F8B" w:rsidP="00C51A45">
      <w:pPr>
        <w:pStyle w:val="Paragrafoelenco"/>
        <w:numPr>
          <w:ilvl w:val="0"/>
          <w:numId w:val="1"/>
        </w:numPr>
        <w:ind w:left="0"/>
        <w:jc w:val="both"/>
        <w:rPr>
          <w:rFonts w:ascii="Times New Roman" w:hAnsi="Times New Roman" w:cs="Times New Roman"/>
          <w:color w:val="000000"/>
          <w:sz w:val="24"/>
          <w:szCs w:val="24"/>
          <w:shd w:val="clear" w:color="auto" w:fill="FFFFFF"/>
        </w:rPr>
      </w:pPr>
      <w:r w:rsidRPr="00C51A45">
        <w:rPr>
          <w:rFonts w:ascii="Times New Roman" w:hAnsi="Times New Roman" w:cs="Times New Roman"/>
          <w:color w:val="000000"/>
          <w:sz w:val="24"/>
          <w:szCs w:val="24"/>
          <w:shd w:val="clear" w:color="auto" w:fill="FFFFFF"/>
        </w:rPr>
        <w:t>Microbial Species:Hydrolytic bacteria such as Clostridium, Bacteroides, and Proteobacteria are the most common microbial species in this phase. These bacteria can produce a wide variety of hydrolytic enzymes.</w:t>
      </w:r>
    </w:p>
    <w:p w:rsidR="00FA4F8B" w:rsidRPr="00C51A45" w:rsidRDefault="00FA4F8B" w:rsidP="00C51A45">
      <w:pPr>
        <w:pStyle w:val="Paragrafoelenco"/>
        <w:numPr>
          <w:ilvl w:val="0"/>
          <w:numId w:val="1"/>
        </w:numPr>
        <w:ind w:left="0"/>
        <w:jc w:val="both"/>
        <w:rPr>
          <w:rFonts w:ascii="Times New Roman" w:hAnsi="Times New Roman" w:cs="Times New Roman"/>
          <w:color w:val="000000"/>
          <w:sz w:val="24"/>
          <w:szCs w:val="24"/>
          <w:shd w:val="clear" w:color="auto" w:fill="FFFFFF"/>
        </w:rPr>
      </w:pPr>
      <w:r w:rsidRPr="00C51A45">
        <w:rPr>
          <w:rFonts w:ascii="Times New Roman" w:hAnsi="Times New Roman" w:cs="Times New Roman"/>
          <w:color w:val="000000"/>
          <w:sz w:val="24"/>
          <w:szCs w:val="24"/>
          <w:shd w:val="clear" w:color="auto" w:fill="FFFFFF"/>
        </w:rPr>
        <w:t>Chemical Transformations:Chemical transformations include the hydrolysis of starches into glucose molecules, the breakdown of proteins into amino acids, and the conversion of lipids into glycerol and fatty acids.</w:t>
      </w:r>
    </w:p>
    <w:p w:rsidR="00FA4F8B" w:rsidRPr="00C51A45" w:rsidRDefault="00FA4F8B" w:rsidP="00C51A45">
      <w:pPr>
        <w:jc w:val="both"/>
        <w:rPr>
          <w:rFonts w:ascii="Times New Roman" w:hAnsi="Times New Roman" w:cs="Times New Roman"/>
          <w:bCs/>
          <w:color w:val="000000"/>
          <w:sz w:val="24"/>
          <w:szCs w:val="24"/>
          <w:shd w:val="clear" w:color="auto" w:fill="FFFFFF"/>
          <w:lang w:val="en-US"/>
        </w:rPr>
      </w:pPr>
      <w:r w:rsidRPr="00C51A45">
        <w:rPr>
          <w:rFonts w:ascii="Times New Roman" w:hAnsi="Times New Roman" w:cs="Times New Roman"/>
          <w:b/>
          <w:bCs/>
          <w:color w:val="000000"/>
          <w:sz w:val="24"/>
          <w:szCs w:val="24"/>
          <w:shd w:val="clear" w:color="auto" w:fill="FFFFFF"/>
          <w:lang w:val="en-US"/>
        </w:rPr>
        <w:t>Acidogenesis Phase:</w:t>
      </w:r>
      <w:r w:rsidRPr="00C51A45">
        <w:rPr>
          <w:rFonts w:ascii="Times New Roman" w:hAnsi="Times New Roman" w:cs="Times New Roman"/>
          <w:color w:val="000000"/>
          <w:sz w:val="24"/>
          <w:szCs w:val="24"/>
          <w:shd w:val="clear" w:color="auto" w:fill="FFFFFF"/>
          <w:lang w:val="en-US"/>
        </w:rPr>
        <w:t xml:space="preserve"> Triggered by </w:t>
      </w:r>
      <w:r w:rsidRPr="00C51A45">
        <w:rPr>
          <w:rFonts w:ascii="Times New Roman" w:hAnsi="Times New Roman" w:cs="Times New Roman"/>
          <w:bCs/>
          <w:color w:val="000000"/>
          <w:sz w:val="24"/>
          <w:szCs w:val="24"/>
          <w:shd w:val="clear" w:color="auto" w:fill="FFFFFF"/>
          <w:lang w:val="en-US"/>
        </w:rPr>
        <w:t>certain</w:t>
      </w:r>
      <w:r w:rsidRPr="00C51A45">
        <w:rPr>
          <w:rFonts w:ascii="Times New Roman" w:hAnsi="Times New Roman" w:cs="Times New Roman"/>
          <w:color w:val="000000"/>
          <w:sz w:val="24"/>
          <w:szCs w:val="24"/>
          <w:shd w:val="clear" w:color="auto" w:fill="FFFFFF"/>
          <w:lang w:val="en-US"/>
        </w:rPr>
        <w:t xml:space="preserve"> bacterial strains, </w:t>
      </w:r>
      <w:r w:rsidRPr="00C51A45">
        <w:rPr>
          <w:rFonts w:ascii="Times New Roman" w:hAnsi="Times New Roman" w:cs="Times New Roman"/>
          <w:bCs/>
          <w:color w:val="000000"/>
          <w:sz w:val="24"/>
          <w:szCs w:val="24"/>
          <w:shd w:val="clear" w:color="auto" w:fill="FFFFFF"/>
          <w:lang w:val="en-US"/>
        </w:rPr>
        <w:t>the</w:t>
      </w:r>
      <w:r w:rsidRPr="00C51A45">
        <w:rPr>
          <w:rFonts w:ascii="Times New Roman" w:hAnsi="Times New Roman" w:cs="Times New Roman"/>
          <w:color w:val="000000"/>
          <w:sz w:val="24"/>
          <w:szCs w:val="24"/>
          <w:shd w:val="clear" w:color="auto" w:fill="FFFFFF"/>
          <w:lang w:val="en-US"/>
        </w:rPr>
        <w:t xml:space="preserve"> phase breaks down organic </w:t>
      </w:r>
      <w:r w:rsidRPr="00C51A45">
        <w:rPr>
          <w:rFonts w:ascii="Times New Roman" w:hAnsi="Times New Roman" w:cs="Times New Roman"/>
          <w:bCs/>
          <w:color w:val="000000"/>
          <w:sz w:val="24"/>
          <w:szCs w:val="24"/>
          <w:shd w:val="clear" w:color="auto" w:fill="FFFFFF"/>
          <w:lang w:val="en-US"/>
        </w:rPr>
        <w:t>matter further,</w:t>
      </w:r>
      <w:r w:rsidRPr="00C51A45">
        <w:rPr>
          <w:rFonts w:ascii="Times New Roman" w:hAnsi="Times New Roman" w:cs="Times New Roman"/>
          <w:color w:val="000000"/>
          <w:sz w:val="24"/>
          <w:szCs w:val="24"/>
          <w:shd w:val="clear" w:color="auto" w:fill="FFFFFF"/>
          <w:lang w:val="en-US"/>
        </w:rPr>
        <w:t xml:space="preserve">releasing essential components. Acidogenic </w:t>
      </w:r>
      <w:r w:rsidRPr="00C51A45">
        <w:rPr>
          <w:rFonts w:ascii="Times New Roman" w:hAnsi="Times New Roman" w:cs="Times New Roman"/>
          <w:color w:val="000000"/>
          <w:sz w:val="24"/>
          <w:szCs w:val="24"/>
          <w:shd w:val="clear" w:color="auto" w:fill="FFFFFF"/>
          <w:lang w:val="en-US"/>
        </w:rPr>
        <w:lastRenderedPageBreak/>
        <w:t xml:space="preserve">bacteria play a </w:t>
      </w:r>
      <w:r w:rsidRPr="00C51A45">
        <w:rPr>
          <w:rFonts w:ascii="Times New Roman" w:hAnsi="Times New Roman" w:cs="Times New Roman"/>
          <w:bCs/>
          <w:color w:val="000000"/>
          <w:sz w:val="24"/>
          <w:szCs w:val="24"/>
          <w:shd w:val="clear" w:color="auto" w:fill="FFFFFF"/>
          <w:lang w:val="en-US"/>
        </w:rPr>
        <w:t>key</w:t>
      </w:r>
      <w:r w:rsidRPr="00C51A45">
        <w:rPr>
          <w:rFonts w:ascii="Times New Roman" w:hAnsi="Times New Roman" w:cs="Times New Roman"/>
          <w:color w:val="000000"/>
          <w:sz w:val="24"/>
          <w:szCs w:val="24"/>
          <w:shd w:val="clear" w:color="auto" w:fill="FFFFFF"/>
          <w:lang w:val="en-US"/>
        </w:rPr>
        <w:t xml:space="preserve"> role in this </w:t>
      </w:r>
      <w:r w:rsidRPr="00C51A45">
        <w:rPr>
          <w:rFonts w:ascii="Times New Roman" w:hAnsi="Times New Roman" w:cs="Times New Roman"/>
          <w:bCs/>
          <w:color w:val="000000"/>
          <w:sz w:val="24"/>
          <w:szCs w:val="24"/>
          <w:shd w:val="clear" w:color="auto" w:fill="FFFFFF"/>
          <w:lang w:val="en-US"/>
        </w:rPr>
        <w:t>step, as they transform</w:t>
      </w:r>
      <w:r w:rsidRPr="00C51A45">
        <w:rPr>
          <w:rFonts w:ascii="Times New Roman" w:hAnsi="Times New Roman" w:cs="Times New Roman"/>
          <w:color w:val="000000"/>
          <w:sz w:val="24"/>
          <w:szCs w:val="24"/>
          <w:shd w:val="clear" w:color="auto" w:fill="FFFFFF"/>
          <w:lang w:val="en-US"/>
        </w:rPr>
        <w:t xml:space="preserve"> the simpler molecules </w:t>
      </w:r>
      <w:r w:rsidRPr="00C51A45">
        <w:rPr>
          <w:rFonts w:ascii="Times New Roman" w:hAnsi="Times New Roman" w:cs="Times New Roman"/>
          <w:bCs/>
          <w:color w:val="000000"/>
          <w:sz w:val="24"/>
          <w:szCs w:val="24"/>
          <w:shd w:val="clear" w:color="auto" w:fill="FFFFFF"/>
          <w:lang w:val="en-US"/>
        </w:rPr>
        <w:t>of</w:t>
      </w:r>
      <w:r w:rsidRPr="00C51A45">
        <w:rPr>
          <w:rFonts w:ascii="Times New Roman" w:hAnsi="Times New Roman" w:cs="Times New Roman"/>
          <w:color w:val="000000"/>
          <w:sz w:val="24"/>
          <w:szCs w:val="24"/>
          <w:shd w:val="clear" w:color="auto" w:fill="FFFFFF"/>
          <w:lang w:val="en-US"/>
        </w:rPr>
        <w:t xml:space="preserve"> the </w:t>
      </w:r>
      <w:r w:rsidRPr="00C51A45">
        <w:rPr>
          <w:rFonts w:ascii="Times New Roman" w:hAnsi="Times New Roman" w:cs="Times New Roman"/>
          <w:bCs/>
          <w:color w:val="000000"/>
          <w:sz w:val="24"/>
          <w:szCs w:val="24"/>
          <w:shd w:val="clear" w:color="auto" w:fill="FFFFFF"/>
          <w:lang w:val="en-US"/>
        </w:rPr>
        <w:t>hydrolysis step</w:t>
      </w:r>
      <w:r w:rsidRPr="00C51A45">
        <w:rPr>
          <w:rFonts w:ascii="Times New Roman" w:hAnsi="Times New Roman" w:cs="Times New Roman"/>
          <w:color w:val="000000"/>
          <w:sz w:val="24"/>
          <w:szCs w:val="24"/>
          <w:shd w:val="clear" w:color="auto" w:fill="FFFFFF"/>
          <w:lang w:val="en-US"/>
        </w:rPr>
        <w:t xml:space="preserve"> into volatile fatty acids </w:t>
      </w:r>
      <w:r w:rsidRPr="00C51A45">
        <w:rPr>
          <w:rFonts w:ascii="Times New Roman" w:hAnsi="Times New Roman" w:cs="Times New Roman"/>
          <w:bCs/>
          <w:color w:val="000000"/>
          <w:sz w:val="24"/>
          <w:szCs w:val="24"/>
          <w:shd w:val="clear" w:color="auto" w:fill="FFFFFF"/>
          <w:lang w:val="en-US"/>
        </w:rPr>
        <w:t>(VFA), hydrogen</w:t>
      </w:r>
      <w:r w:rsidRPr="00C51A45">
        <w:rPr>
          <w:rFonts w:ascii="Times New Roman" w:hAnsi="Times New Roman" w:cs="Times New Roman"/>
          <w:color w:val="000000"/>
          <w:sz w:val="24"/>
          <w:szCs w:val="24"/>
          <w:shd w:val="clear" w:color="auto" w:fill="FFFFFF"/>
          <w:lang w:val="en-US"/>
        </w:rPr>
        <w:t xml:space="preserve"> and ammonia. These products are </w:t>
      </w:r>
      <w:r w:rsidRPr="00C51A45">
        <w:rPr>
          <w:rFonts w:ascii="Times New Roman" w:hAnsi="Times New Roman" w:cs="Times New Roman"/>
          <w:bCs/>
          <w:color w:val="000000"/>
          <w:sz w:val="24"/>
          <w:szCs w:val="24"/>
          <w:shd w:val="clear" w:color="auto" w:fill="FFFFFF"/>
          <w:lang w:val="en-US"/>
        </w:rPr>
        <w:t>important</w:t>
      </w:r>
      <w:r w:rsidRPr="00C51A45">
        <w:rPr>
          <w:rFonts w:ascii="Times New Roman" w:hAnsi="Times New Roman" w:cs="Times New Roman"/>
          <w:color w:val="000000"/>
          <w:sz w:val="24"/>
          <w:szCs w:val="24"/>
          <w:shd w:val="clear" w:color="auto" w:fill="FFFFFF"/>
          <w:lang w:val="en-US"/>
        </w:rPr>
        <w:t xml:space="preserve"> intermediates that </w:t>
      </w:r>
      <w:r w:rsidRPr="00C51A45">
        <w:rPr>
          <w:rFonts w:ascii="Times New Roman" w:hAnsi="Times New Roman" w:cs="Times New Roman"/>
          <w:bCs/>
          <w:color w:val="000000"/>
          <w:sz w:val="24"/>
          <w:szCs w:val="24"/>
          <w:shd w:val="clear" w:color="auto" w:fill="FFFFFF"/>
          <w:lang w:val="en-US"/>
        </w:rPr>
        <w:t>change</w:t>
      </w:r>
      <w:r w:rsidRPr="00C51A45">
        <w:rPr>
          <w:rFonts w:ascii="Times New Roman" w:hAnsi="Times New Roman" w:cs="Times New Roman"/>
          <w:color w:val="000000"/>
          <w:sz w:val="24"/>
          <w:szCs w:val="24"/>
          <w:shd w:val="clear" w:color="auto" w:fill="FFFFFF"/>
          <w:lang w:val="en-US"/>
        </w:rPr>
        <w:t xml:space="preserve"> in </w:t>
      </w:r>
      <w:r w:rsidRPr="00C51A45">
        <w:rPr>
          <w:rFonts w:ascii="Times New Roman" w:hAnsi="Times New Roman" w:cs="Times New Roman"/>
          <w:bCs/>
          <w:color w:val="000000"/>
          <w:sz w:val="24"/>
          <w:szCs w:val="24"/>
          <w:shd w:val="clear" w:color="auto" w:fill="FFFFFF"/>
          <w:lang w:val="en-US"/>
        </w:rPr>
        <w:t>later stages.</w:t>
      </w:r>
    </w:p>
    <w:p w:rsidR="00FA4F8B" w:rsidRPr="00C51A45" w:rsidRDefault="00FA4F8B" w:rsidP="00C51A45">
      <w:pPr>
        <w:pStyle w:val="Paragrafoelenco"/>
        <w:numPr>
          <w:ilvl w:val="0"/>
          <w:numId w:val="2"/>
        </w:numPr>
        <w:ind w:left="0"/>
        <w:jc w:val="both"/>
        <w:rPr>
          <w:rFonts w:ascii="Times New Roman" w:hAnsi="Times New Roman" w:cs="Times New Roman"/>
          <w:sz w:val="24"/>
          <w:szCs w:val="24"/>
        </w:rPr>
      </w:pPr>
      <w:r w:rsidRPr="00C51A45">
        <w:rPr>
          <w:rFonts w:ascii="Times New Roman" w:hAnsi="Times New Roman" w:cs="Times New Roman"/>
          <w:bCs/>
          <w:color w:val="000000"/>
          <w:sz w:val="24"/>
          <w:szCs w:val="24"/>
          <w:shd w:val="clear" w:color="auto" w:fill="FFFFFF"/>
        </w:rPr>
        <w:t>Biological Reactions:Acidogenic bacteria are essential in this phase of biological reactions. They metabolise simpler chemical molecules, resulting in VFAs and other byproducts.</w:t>
      </w:r>
    </w:p>
    <w:p w:rsidR="00FA4F8B" w:rsidRPr="00C51A45" w:rsidRDefault="00FA4F8B" w:rsidP="00C51A45">
      <w:pPr>
        <w:pStyle w:val="Paragrafoelenco"/>
        <w:numPr>
          <w:ilvl w:val="0"/>
          <w:numId w:val="2"/>
        </w:numPr>
        <w:ind w:left="0"/>
        <w:jc w:val="both"/>
        <w:rPr>
          <w:rFonts w:ascii="Times New Roman" w:hAnsi="Times New Roman" w:cs="Times New Roman"/>
          <w:sz w:val="24"/>
          <w:szCs w:val="24"/>
        </w:rPr>
      </w:pPr>
      <w:r w:rsidRPr="00C51A45">
        <w:rPr>
          <w:rFonts w:ascii="Times New Roman" w:hAnsi="Times New Roman" w:cs="Times New Roman"/>
          <w:sz w:val="24"/>
          <w:szCs w:val="24"/>
        </w:rPr>
        <w:t>Microbial Species: Notable acidogenic bacteria include Clostridium, Lactobacillus, and Acetobacter. These microorganisms flourish in anaerobic conditions and are capable of creating VFAs.</w:t>
      </w:r>
    </w:p>
    <w:p w:rsidR="00FA4F8B" w:rsidRPr="00C51A45" w:rsidRDefault="00FA4F8B" w:rsidP="00C51A45">
      <w:pPr>
        <w:pStyle w:val="Paragrafoelenco"/>
        <w:numPr>
          <w:ilvl w:val="0"/>
          <w:numId w:val="2"/>
        </w:numPr>
        <w:ind w:left="0"/>
        <w:jc w:val="both"/>
        <w:rPr>
          <w:rFonts w:ascii="Times New Roman" w:hAnsi="Times New Roman" w:cs="Times New Roman"/>
          <w:sz w:val="24"/>
          <w:szCs w:val="24"/>
        </w:rPr>
      </w:pPr>
      <w:r w:rsidRPr="00C51A45">
        <w:rPr>
          <w:rFonts w:ascii="Times New Roman" w:hAnsi="Times New Roman" w:cs="Times New Roman"/>
          <w:sz w:val="24"/>
          <w:szCs w:val="24"/>
        </w:rPr>
        <w:t>Chemical Transformations: Glucose and amino acids, for example, are transformed into acetic acid, propionic acid, butyric acid, and other VFAs by chemical transformations.</w:t>
      </w:r>
    </w:p>
    <w:p w:rsidR="00FA4F8B" w:rsidRPr="00C51A45" w:rsidRDefault="00FA4F8B" w:rsidP="00C51A45">
      <w:pPr>
        <w:jc w:val="both"/>
        <w:rPr>
          <w:rFonts w:ascii="Times New Roman" w:hAnsi="Times New Roman" w:cs="Times New Roman"/>
          <w:color w:val="000000"/>
          <w:sz w:val="24"/>
          <w:szCs w:val="24"/>
          <w:shd w:val="clear" w:color="auto" w:fill="FFFFFF"/>
          <w:lang w:val="en-US"/>
        </w:rPr>
      </w:pPr>
      <w:r w:rsidRPr="00C51A45">
        <w:rPr>
          <w:rFonts w:ascii="Times New Roman" w:hAnsi="Times New Roman" w:cs="Times New Roman"/>
          <w:b/>
          <w:bCs/>
          <w:color w:val="000000"/>
          <w:sz w:val="24"/>
          <w:szCs w:val="24"/>
          <w:shd w:val="clear" w:color="auto" w:fill="FFFFFF"/>
          <w:lang w:val="en-US"/>
        </w:rPr>
        <w:t>Stage</w:t>
      </w:r>
      <w:r w:rsidRPr="00C51A45">
        <w:rPr>
          <w:rFonts w:ascii="Times New Roman" w:hAnsi="Times New Roman" w:cs="Times New Roman"/>
          <w:b/>
          <w:color w:val="000000"/>
          <w:sz w:val="24"/>
          <w:szCs w:val="24"/>
          <w:shd w:val="clear" w:color="auto" w:fill="FFFFFF"/>
          <w:lang w:val="en-US"/>
        </w:rPr>
        <w:t xml:space="preserve"> of </w:t>
      </w:r>
      <w:r w:rsidRPr="00C51A45">
        <w:rPr>
          <w:rFonts w:ascii="Times New Roman" w:hAnsi="Times New Roman" w:cs="Times New Roman"/>
          <w:b/>
          <w:bCs/>
          <w:color w:val="000000"/>
          <w:sz w:val="24"/>
          <w:szCs w:val="24"/>
          <w:shd w:val="clear" w:color="auto" w:fill="FFFFFF"/>
          <w:lang w:val="en-US"/>
        </w:rPr>
        <w:t>acetogenesis:</w:t>
      </w:r>
      <w:r w:rsidRPr="00C51A45">
        <w:rPr>
          <w:rFonts w:ascii="Times New Roman" w:hAnsi="Times New Roman" w:cs="Times New Roman"/>
          <w:bCs/>
          <w:color w:val="000000"/>
          <w:sz w:val="24"/>
          <w:szCs w:val="24"/>
          <w:shd w:val="clear" w:color="auto" w:fill="FFFFFF"/>
          <w:lang w:val="en-US"/>
        </w:rPr>
        <w:t xml:space="preserve"> As in</w:t>
      </w:r>
      <w:r w:rsidRPr="00C51A45">
        <w:rPr>
          <w:rFonts w:ascii="Times New Roman" w:hAnsi="Times New Roman" w:cs="Times New Roman"/>
          <w:color w:val="000000"/>
          <w:sz w:val="24"/>
          <w:szCs w:val="24"/>
          <w:shd w:val="clear" w:color="auto" w:fill="FFFFFF"/>
          <w:lang w:val="en-US"/>
        </w:rPr>
        <w:t xml:space="preserve"> the </w:t>
      </w:r>
      <w:r w:rsidRPr="00C51A45">
        <w:rPr>
          <w:rFonts w:ascii="Times New Roman" w:hAnsi="Times New Roman" w:cs="Times New Roman"/>
          <w:bCs/>
          <w:color w:val="000000"/>
          <w:sz w:val="24"/>
          <w:szCs w:val="24"/>
          <w:shd w:val="clear" w:color="auto" w:fill="FFFFFF"/>
          <w:lang w:val="en-US"/>
        </w:rPr>
        <w:t>stage of acidogenesis,</w:t>
      </w:r>
      <w:r w:rsidRPr="00C51A45">
        <w:rPr>
          <w:rFonts w:ascii="Times New Roman" w:hAnsi="Times New Roman" w:cs="Times New Roman"/>
          <w:color w:val="000000"/>
          <w:sz w:val="24"/>
          <w:szCs w:val="24"/>
          <w:shd w:val="clear" w:color="auto" w:fill="FFFFFF"/>
          <w:lang w:val="en-US"/>
        </w:rPr>
        <w:t xml:space="preserve"> this stage is catalyzed by </w:t>
      </w:r>
      <w:r w:rsidRPr="00C51A45">
        <w:rPr>
          <w:rFonts w:ascii="Times New Roman" w:hAnsi="Times New Roman" w:cs="Times New Roman"/>
          <w:bCs/>
          <w:color w:val="000000"/>
          <w:sz w:val="24"/>
          <w:szCs w:val="24"/>
          <w:shd w:val="clear" w:color="auto" w:fill="FFFFFF"/>
          <w:lang w:val="en-US"/>
        </w:rPr>
        <w:t>some microorganisms that promote</w:t>
      </w:r>
      <w:r w:rsidRPr="00C51A45">
        <w:rPr>
          <w:rFonts w:ascii="Times New Roman" w:hAnsi="Times New Roman" w:cs="Times New Roman"/>
          <w:color w:val="000000"/>
          <w:sz w:val="24"/>
          <w:szCs w:val="24"/>
          <w:shd w:val="clear" w:color="auto" w:fill="FFFFFF"/>
          <w:lang w:val="en-US"/>
        </w:rPr>
        <w:t xml:space="preserve"> the decomposition process. Acetogenic bacteria are </w:t>
      </w:r>
      <w:r w:rsidRPr="00C51A45">
        <w:rPr>
          <w:rFonts w:ascii="Times New Roman" w:hAnsi="Times New Roman" w:cs="Times New Roman"/>
          <w:bCs/>
          <w:color w:val="000000"/>
          <w:sz w:val="24"/>
          <w:szCs w:val="24"/>
          <w:shd w:val="clear" w:color="auto" w:fill="FFFFFF"/>
          <w:lang w:val="en-US"/>
        </w:rPr>
        <w:t>important</w:t>
      </w:r>
      <w:r w:rsidRPr="00C51A45">
        <w:rPr>
          <w:rFonts w:ascii="Times New Roman" w:hAnsi="Times New Roman" w:cs="Times New Roman"/>
          <w:color w:val="000000"/>
          <w:sz w:val="24"/>
          <w:szCs w:val="24"/>
          <w:shd w:val="clear" w:color="auto" w:fill="FFFFFF"/>
          <w:lang w:val="en-US"/>
        </w:rPr>
        <w:t xml:space="preserve"> in converting VFAs produced </w:t>
      </w:r>
      <w:r w:rsidRPr="00C51A45">
        <w:rPr>
          <w:rFonts w:ascii="Times New Roman" w:hAnsi="Times New Roman" w:cs="Times New Roman"/>
          <w:bCs/>
          <w:color w:val="000000"/>
          <w:sz w:val="24"/>
          <w:szCs w:val="24"/>
          <w:shd w:val="clear" w:color="auto" w:fill="FFFFFF"/>
          <w:lang w:val="en-US"/>
        </w:rPr>
        <w:t>during</w:t>
      </w:r>
      <w:r w:rsidRPr="00C51A45">
        <w:rPr>
          <w:rFonts w:ascii="Times New Roman" w:hAnsi="Times New Roman" w:cs="Times New Roman"/>
          <w:color w:val="000000"/>
          <w:sz w:val="24"/>
          <w:szCs w:val="24"/>
          <w:shd w:val="clear" w:color="auto" w:fill="FFFFFF"/>
          <w:lang w:val="en-US"/>
        </w:rPr>
        <w:t xml:space="preserve"> the acidogenesis</w:t>
      </w:r>
      <w:r w:rsidRPr="00C51A45">
        <w:rPr>
          <w:rFonts w:ascii="Times New Roman" w:hAnsi="Times New Roman" w:cs="Times New Roman"/>
          <w:bCs/>
          <w:color w:val="000000"/>
          <w:sz w:val="24"/>
          <w:szCs w:val="24"/>
          <w:shd w:val="clear" w:color="auto" w:fill="FFFFFF"/>
          <w:lang w:val="en-US"/>
        </w:rPr>
        <w:t>step</w:t>
      </w:r>
      <w:r w:rsidRPr="00C51A45">
        <w:rPr>
          <w:rFonts w:ascii="Times New Roman" w:hAnsi="Times New Roman" w:cs="Times New Roman"/>
          <w:color w:val="000000"/>
          <w:sz w:val="24"/>
          <w:szCs w:val="24"/>
          <w:shd w:val="clear" w:color="auto" w:fill="FFFFFF"/>
          <w:lang w:val="en-US"/>
        </w:rPr>
        <w:t xml:space="preserve"> into acetic acid, </w:t>
      </w:r>
      <w:r w:rsidRPr="00C51A45">
        <w:rPr>
          <w:rFonts w:ascii="Times New Roman" w:hAnsi="Times New Roman" w:cs="Times New Roman"/>
          <w:bCs/>
          <w:color w:val="000000"/>
          <w:sz w:val="24"/>
          <w:szCs w:val="24"/>
          <w:shd w:val="clear" w:color="auto" w:fill="FFFFFF"/>
          <w:lang w:val="en-US"/>
        </w:rPr>
        <w:t>hydrogen</w:t>
      </w:r>
      <w:r w:rsidRPr="00C51A45">
        <w:rPr>
          <w:rFonts w:ascii="Times New Roman" w:hAnsi="Times New Roman" w:cs="Times New Roman"/>
          <w:color w:val="000000"/>
          <w:sz w:val="24"/>
          <w:szCs w:val="24"/>
          <w:shd w:val="clear" w:color="auto" w:fill="FFFFFF"/>
          <w:lang w:val="en-US"/>
        </w:rPr>
        <w:t xml:space="preserve"> and carbon dioxide. This </w:t>
      </w:r>
      <w:r w:rsidRPr="00C51A45">
        <w:rPr>
          <w:rFonts w:ascii="Times New Roman" w:hAnsi="Times New Roman" w:cs="Times New Roman"/>
          <w:bCs/>
          <w:color w:val="000000"/>
          <w:sz w:val="24"/>
          <w:szCs w:val="24"/>
          <w:shd w:val="clear" w:color="auto" w:fill="FFFFFF"/>
          <w:lang w:val="en-US"/>
        </w:rPr>
        <w:t>step</w:t>
      </w:r>
      <w:r w:rsidRPr="00C51A45">
        <w:rPr>
          <w:rFonts w:ascii="Times New Roman" w:hAnsi="Times New Roman" w:cs="Times New Roman"/>
          <w:color w:val="000000"/>
          <w:sz w:val="24"/>
          <w:szCs w:val="24"/>
          <w:shd w:val="clear" w:color="auto" w:fill="FFFFFF"/>
          <w:lang w:val="en-US"/>
        </w:rPr>
        <w:t xml:space="preserve"> represents a critical transition </w:t>
      </w:r>
      <w:r w:rsidRPr="00C51A45">
        <w:rPr>
          <w:rFonts w:ascii="Times New Roman" w:hAnsi="Times New Roman" w:cs="Times New Roman"/>
          <w:bCs/>
          <w:color w:val="000000"/>
          <w:sz w:val="24"/>
          <w:szCs w:val="24"/>
          <w:shd w:val="clear" w:color="auto" w:fill="FFFFFF"/>
          <w:lang w:val="en-US"/>
        </w:rPr>
        <w:t>to</w:t>
      </w:r>
      <w:r w:rsidRPr="00C51A45">
        <w:rPr>
          <w:rFonts w:ascii="Times New Roman" w:hAnsi="Times New Roman" w:cs="Times New Roman"/>
          <w:color w:val="000000"/>
          <w:sz w:val="24"/>
          <w:szCs w:val="24"/>
          <w:shd w:val="clear" w:color="auto" w:fill="FFFFFF"/>
          <w:lang w:val="en-US"/>
        </w:rPr>
        <w:t xml:space="preserve"> the production of methane, a valuable </w:t>
      </w:r>
      <w:r w:rsidRPr="00C51A45">
        <w:rPr>
          <w:rFonts w:ascii="Times New Roman" w:hAnsi="Times New Roman" w:cs="Times New Roman"/>
          <w:bCs/>
          <w:color w:val="000000"/>
          <w:sz w:val="24"/>
          <w:szCs w:val="24"/>
          <w:shd w:val="clear" w:color="auto" w:fill="FFFFFF"/>
          <w:lang w:val="en-US"/>
        </w:rPr>
        <w:t>final product</w:t>
      </w:r>
      <w:r w:rsidRPr="00C51A45">
        <w:rPr>
          <w:rFonts w:ascii="Times New Roman" w:hAnsi="Times New Roman" w:cs="Times New Roman"/>
          <w:color w:val="000000"/>
          <w:sz w:val="24"/>
          <w:szCs w:val="24"/>
          <w:shd w:val="clear" w:color="auto" w:fill="FFFFFF"/>
          <w:lang w:val="en-US"/>
        </w:rPr>
        <w:t xml:space="preserve"> of the process.</w:t>
      </w:r>
    </w:p>
    <w:p w:rsidR="00FA4F8B" w:rsidRPr="00C51A45" w:rsidRDefault="00FA4F8B" w:rsidP="00C51A45">
      <w:pPr>
        <w:pStyle w:val="Paragrafoelenco"/>
        <w:numPr>
          <w:ilvl w:val="0"/>
          <w:numId w:val="3"/>
        </w:numPr>
        <w:ind w:left="0"/>
        <w:jc w:val="both"/>
        <w:rPr>
          <w:rFonts w:ascii="Times New Roman" w:hAnsi="Times New Roman" w:cs="Times New Roman"/>
          <w:color w:val="000000"/>
          <w:sz w:val="24"/>
          <w:szCs w:val="24"/>
          <w:shd w:val="clear" w:color="auto" w:fill="FFFFFF"/>
        </w:rPr>
      </w:pPr>
      <w:r w:rsidRPr="00C51A45">
        <w:rPr>
          <w:rFonts w:ascii="Times New Roman" w:hAnsi="Times New Roman" w:cs="Times New Roman"/>
          <w:color w:val="000000"/>
          <w:sz w:val="24"/>
          <w:szCs w:val="24"/>
          <w:shd w:val="clear" w:color="auto" w:fill="FFFFFF"/>
        </w:rPr>
        <w:lastRenderedPageBreak/>
        <w:t>Biological Reactions: Acetogenic bacteria are important in this phase. They use VFAs and hydrogen generated during the acidogenesis phase to make acetic acid and more hydrogen.</w:t>
      </w:r>
    </w:p>
    <w:p w:rsidR="00FA4F8B" w:rsidRPr="00C51A45" w:rsidRDefault="00FA4F8B" w:rsidP="00C51A45">
      <w:pPr>
        <w:pStyle w:val="Paragrafoelenco"/>
        <w:numPr>
          <w:ilvl w:val="0"/>
          <w:numId w:val="3"/>
        </w:numPr>
        <w:ind w:left="0"/>
        <w:jc w:val="both"/>
        <w:rPr>
          <w:rFonts w:ascii="Times New Roman" w:hAnsi="Times New Roman" w:cs="Times New Roman"/>
          <w:color w:val="000000"/>
          <w:sz w:val="24"/>
          <w:szCs w:val="24"/>
          <w:shd w:val="clear" w:color="auto" w:fill="FFFFFF"/>
        </w:rPr>
      </w:pPr>
      <w:r w:rsidRPr="00C51A45">
        <w:rPr>
          <w:rFonts w:ascii="Times New Roman" w:hAnsi="Times New Roman" w:cs="Times New Roman"/>
          <w:color w:val="000000"/>
          <w:sz w:val="24"/>
          <w:szCs w:val="24"/>
          <w:shd w:val="clear" w:color="auto" w:fill="FFFFFF"/>
        </w:rPr>
        <w:t>Microbial Species:Acetobacteriumwoodii, Clostridium ljungdahlii, and Moorellathermoacetica are examples of key acetogenic bacteria. These microorganisms specialise in the transformation of VFAs and hydrogen into acetic acid.</w:t>
      </w:r>
    </w:p>
    <w:p w:rsidR="00FA4F8B" w:rsidRPr="00C51A45" w:rsidRDefault="00FA4F8B" w:rsidP="00C51A45">
      <w:pPr>
        <w:pStyle w:val="Paragrafoelenco"/>
        <w:numPr>
          <w:ilvl w:val="0"/>
          <w:numId w:val="3"/>
        </w:numPr>
        <w:ind w:left="0"/>
        <w:jc w:val="both"/>
        <w:rPr>
          <w:rFonts w:ascii="Times New Roman" w:hAnsi="Times New Roman" w:cs="Times New Roman"/>
          <w:color w:val="000000"/>
          <w:sz w:val="24"/>
          <w:szCs w:val="24"/>
          <w:shd w:val="clear" w:color="auto" w:fill="FFFFFF"/>
        </w:rPr>
      </w:pPr>
      <w:r w:rsidRPr="00C51A45">
        <w:rPr>
          <w:rFonts w:ascii="Times New Roman" w:hAnsi="Times New Roman" w:cs="Times New Roman"/>
          <w:color w:val="000000"/>
          <w:sz w:val="24"/>
          <w:szCs w:val="24"/>
          <w:shd w:val="clear" w:color="auto" w:fill="FFFFFF"/>
        </w:rPr>
        <w:t>Chemical Transformations: Propionic acid and butyric acid, both VFAs, are transformed into acetic acid by chemical transformations. At the same time, hydrogen and carbon dioxide are interconverted.</w:t>
      </w:r>
    </w:p>
    <w:p w:rsidR="00FA4F8B" w:rsidRPr="00C51A45" w:rsidRDefault="00FA4F8B" w:rsidP="00C51A45">
      <w:pPr>
        <w:jc w:val="both"/>
        <w:rPr>
          <w:rFonts w:ascii="Times New Roman" w:hAnsi="Times New Roman" w:cs="Times New Roman"/>
          <w:color w:val="000000"/>
          <w:sz w:val="24"/>
          <w:szCs w:val="24"/>
          <w:shd w:val="clear" w:color="auto" w:fill="FFFFFF"/>
          <w:lang w:val="en-US"/>
        </w:rPr>
      </w:pPr>
      <w:r w:rsidRPr="00C51A45">
        <w:rPr>
          <w:rFonts w:ascii="Times New Roman" w:hAnsi="Times New Roman" w:cs="Times New Roman"/>
          <w:b/>
          <w:bCs/>
          <w:color w:val="000000"/>
          <w:sz w:val="24"/>
          <w:szCs w:val="24"/>
          <w:shd w:val="clear" w:color="auto" w:fill="FFFFFF"/>
          <w:lang w:val="en-US"/>
        </w:rPr>
        <w:t>Methanogenesis stage:</w:t>
      </w:r>
      <w:r w:rsidRPr="00C51A45">
        <w:rPr>
          <w:rFonts w:ascii="Times New Roman" w:hAnsi="Times New Roman" w:cs="Times New Roman"/>
          <w:color w:val="000000"/>
          <w:sz w:val="24"/>
          <w:szCs w:val="24"/>
          <w:shd w:val="clear" w:color="auto" w:fill="FFFFFF"/>
          <w:lang w:val="en-US"/>
        </w:rPr>
        <w:t xml:space="preserve"> This </w:t>
      </w:r>
      <w:r w:rsidRPr="00C51A45">
        <w:rPr>
          <w:rFonts w:ascii="Times New Roman" w:hAnsi="Times New Roman" w:cs="Times New Roman"/>
          <w:bCs/>
          <w:color w:val="000000"/>
          <w:sz w:val="24"/>
          <w:szCs w:val="24"/>
          <w:shd w:val="clear" w:color="auto" w:fill="FFFFFF"/>
          <w:lang w:val="en-US"/>
        </w:rPr>
        <w:t>stage</w:t>
      </w:r>
      <w:r w:rsidRPr="00C51A45">
        <w:rPr>
          <w:rFonts w:ascii="Times New Roman" w:hAnsi="Times New Roman" w:cs="Times New Roman"/>
          <w:color w:val="000000"/>
          <w:sz w:val="24"/>
          <w:szCs w:val="24"/>
          <w:shd w:val="clear" w:color="auto" w:fill="FFFFFF"/>
          <w:lang w:val="en-US"/>
        </w:rPr>
        <w:t xml:space="preserve"> involves </w:t>
      </w:r>
      <w:r w:rsidRPr="00C51A45">
        <w:rPr>
          <w:rFonts w:ascii="Times New Roman" w:hAnsi="Times New Roman" w:cs="Times New Roman"/>
          <w:bCs/>
          <w:color w:val="000000"/>
          <w:sz w:val="24"/>
          <w:szCs w:val="24"/>
          <w:shd w:val="clear" w:color="auto" w:fill="FFFFFF"/>
          <w:lang w:val="en-US"/>
        </w:rPr>
        <w:t>special bacteria</w:t>
      </w:r>
      <w:r w:rsidRPr="00C51A45">
        <w:rPr>
          <w:rFonts w:ascii="Times New Roman" w:hAnsi="Times New Roman" w:cs="Times New Roman"/>
          <w:color w:val="000000"/>
          <w:sz w:val="24"/>
          <w:szCs w:val="24"/>
          <w:shd w:val="clear" w:color="auto" w:fill="FFFFFF"/>
          <w:lang w:val="en-US"/>
        </w:rPr>
        <w:t xml:space="preserve"> and is crucial </w:t>
      </w:r>
      <w:r w:rsidRPr="00C51A45">
        <w:rPr>
          <w:rFonts w:ascii="Times New Roman" w:hAnsi="Times New Roman" w:cs="Times New Roman"/>
          <w:bCs/>
          <w:color w:val="000000"/>
          <w:sz w:val="24"/>
          <w:szCs w:val="24"/>
          <w:shd w:val="clear" w:color="auto" w:fill="FFFFFF"/>
          <w:lang w:val="en-US"/>
        </w:rPr>
        <w:t>in</w:t>
      </w:r>
      <w:r w:rsidRPr="00C51A45">
        <w:rPr>
          <w:rFonts w:ascii="Times New Roman" w:hAnsi="Times New Roman" w:cs="Times New Roman"/>
          <w:color w:val="000000"/>
          <w:sz w:val="24"/>
          <w:szCs w:val="24"/>
          <w:shd w:val="clear" w:color="auto" w:fill="FFFFFF"/>
          <w:lang w:val="en-US"/>
        </w:rPr>
        <w:t xml:space="preserve"> the production of </w:t>
      </w:r>
      <w:r w:rsidRPr="00C51A45">
        <w:rPr>
          <w:rFonts w:ascii="Times New Roman" w:hAnsi="Times New Roman" w:cs="Times New Roman"/>
          <w:bCs/>
          <w:color w:val="000000"/>
          <w:sz w:val="24"/>
          <w:szCs w:val="24"/>
          <w:shd w:val="clear" w:color="auto" w:fill="FFFFFF"/>
          <w:lang w:val="en-US"/>
        </w:rPr>
        <w:t>the</w:t>
      </w:r>
      <w:r w:rsidRPr="00C51A45">
        <w:rPr>
          <w:rFonts w:ascii="Times New Roman" w:hAnsi="Times New Roman" w:cs="Times New Roman"/>
          <w:color w:val="000000"/>
          <w:sz w:val="24"/>
          <w:szCs w:val="24"/>
          <w:shd w:val="clear" w:color="auto" w:fill="FFFFFF"/>
          <w:lang w:val="en-US"/>
        </w:rPr>
        <w:t xml:space="preserve"> valuable </w:t>
      </w:r>
      <w:r w:rsidRPr="00C51A45">
        <w:rPr>
          <w:rFonts w:ascii="Times New Roman" w:hAnsi="Times New Roman" w:cs="Times New Roman"/>
          <w:bCs/>
          <w:color w:val="000000"/>
          <w:sz w:val="24"/>
          <w:szCs w:val="24"/>
          <w:shd w:val="clear" w:color="auto" w:fill="FFFFFF"/>
          <w:lang w:val="en-US"/>
        </w:rPr>
        <w:t>by-product methane.</w:t>
      </w:r>
      <w:r w:rsidRPr="00C51A45">
        <w:rPr>
          <w:rFonts w:ascii="Times New Roman" w:hAnsi="Times New Roman" w:cs="Times New Roman"/>
          <w:color w:val="000000"/>
          <w:sz w:val="24"/>
          <w:szCs w:val="24"/>
          <w:shd w:val="clear" w:color="auto" w:fill="FFFFFF"/>
          <w:lang w:val="en-US"/>
        </w:rPr>
        <w:t>Methanogenicarchaea</w:t>
      </w:r>
      <w:r w:rsidRPr="00C51A45">
        <w:rPr>
          <w:rFonts w:ascii="Times New Roman" w:hAnsi="Times New Roman" w:cs="Times New Roman"/>
          <w:bCs/>
          <w:color w:val="000000"/>
          <w:sz w:val="24"/>
          <w:szCs w:val="24"/>
          <w:shd w:val="clear" w:color="auto" w:fill="FFFFFF"/>
          <w:lang w:val="en-US"/>
        </w:rPr>
        <w:t>are central to this</w:t>
      </w:r>
      <w:r w:rsidRPr="00C51A45">
        <w:rPr>
          <w:rFonts w:ascii="Times New Roman" w:hAnsi="Times New Roman" w:cs="Times New Roman"/>
          <w:color w:val="000000"/>
          <w:sz w:val="24"/>
          <w:szCs w:val="24"/>
          <w:shd w:val="clear" w:color="auto" w:fill="FFFFFF"/>
          <w:lang w:val="en-US"/>
        </w:rPr>
        <w:t xml:space="preserve"> stage </w:t>
      </w:r>
      <w:r w:rsidRPr="00C51A45">
        <w:rPr>
          <w:rFonts w:ascii="Times New Roman" w:hAnsi="Times New Roman" w:cs="Times New Roman"/>
          <w:bCs/>
          <w:color w:val="000000"/>
          <w:sz w:val="24"/>
          <w:szCs w:val="24"/>
          <w:shd w:val="clear" w:color="auto" w:fill="FFFFFF"/>
          <w:lang w:val="en-US"/>
        </w:rPr>
        <w:t>and use</w:t>
      </w:r>
      <w:r w:rsidRPr="00C51A45">
        <w:rPr>
          <w:rFonts w:ascii="Times New Roman" w:hAnsi="Times New Roman" w:cs="Times New Roman"/>
          <w:color w:val="000000"/>
          <w:sz w:val="24"/>
          <w:szCs w:val="24"/>
          <w:shd w:val="clear" w:color="auto" w:fill="FFFFFF"/>
          <w:lang w:val="en-US"/>
        </w:rPr>
        <w:t xml:space="preserve"> the hydrogen and carbon dioxide </w:t>
      </w:r>
      <w:r w:rsidRPr="00C51A45">
        <w:rPr>
          <w:rFonts w:ascii="Times New Roman" w:hAnsi="Times New Roman" w:cs="Times New Roman"/>
          <w:bCs/>
          <w:color w:val="000000"/>
          <w:sz w:val="24"/>
          <w:szCs w:val="24"/>
          <w:shd w:val="clear" w:color="auto" w:fill="FFFFFF"/>
          <w:lang w:val="en-US"/>
        </w:rPr>
        <w:t>produced</w:t>
      </w:r>
      <w:r w:rsidRPr="00C51A45">
        <w:rPr>
          <w:rFonts w:ascii="Times New Roman" w:hAnsi="Times New Roman" w:cs="Times New Roman"/>
          <w:color w:val="000000"/>
          <w:sz w:val="24"/>
          <w:szCs w:val="24"/>
          <w:shd w:val="clear" w:color="auto" w:fill="FFFFFF"/>
          <w:lang w:val="en-US"/>
        </w:rPr>
        <w:t xml:space="preserve"> in </w:t>
      </w:r>
      <w:r w:rsidRPr="00C51A45">
        <w:rPr>
          <w:rFonts w:ascii="Times New Roman" w:hAnsi="Times New Roman" w:cs="Times New Roman"/>
          <w:bCs/>
          <w:color w:val="000000"/>
          <w:sz w:val="24"/>
          <w:szCs w:val="24"/>
          <w:shd w:val="clear" w:color="auto" w:fill="FFFFFF"/>
          <w:lang w:val="en-US"/>
        </w:rPr>
        <w:t>earlier</w:t>
      </w:r>
      <w:r w:rsidRPr="00C51A45">
        <w:rPr>
          <w:rFonts w:ascii="Times New Roman" w:hAnsi="Times New Roman" w:cs="Times New Roman"/>
          <w:color w:val="000000"/>
          <w:sz w:val="24"/>
          <w:szCs w:val="24"/>
          <w:shd w:val="clear" w:color="auto" w:fill="FFFFFF"/>
          <w:lang w:val="en-US"/>
        </w:rPr>
        <w:t xml:space="preserve"> stages to produce methane. This biogas, </w:t>
      </w:r>
      <w:r w:rsidRPr="00C51A45">
        <w:rPr>
          <w:rFonts w:ascii="Times New Roman" w:hAnsi="Times New Roman" w:cs="Times New Roman"/>
          <w:bCs/>
          <w:color w:val="000000"/>
          <w:sz w:val="24"/>
          <w:szCs w:val="24"/>
          <w:shd w:val="clear" w:color="auto" w:fill="FFFFFF"/>
          <w:lang w:val="en-US"/>
        </w:rPr>
        <w:t>consisting mainly</w:t>
      </w:r>
      <w:r w:rsidRPr="00C51A45">
        <w:rPr>
          <w:rFonts w:ascii="Times New Roman" w:hAnsi="Times New Roman" w:cs="Times New Roman"/>
          <w:color w:val="000000"/>
          <w:sz w:val="24"/>
          <w:szCs w:val="24"/>
          <w:shd w:val="clear" w:color="auto" w:fill="FFFFFF"/>
          <w:lang w:val="en-US"/>
        </w:rPr>
        <w:t xml:space="preserve"> of methane, </w:t>
      </w:r>
      <w:r w:rsidRPr="00C51A45">
        <w:rPr>
          <w:rFonts w:ascii="Times New Roman" w:hAnsi="Times New Roman" w:cs="Times New Roman"/>
          <w:bCs/>
          <w:color w:val="000000"/>
          <w:sz w:val="24"/>
          <w:szCs w:val="24"/>
          <w:shd w:val="clear" w:color="auto" w:fill="FFFFFF"/>
          <w:lang w:val="en-US"/>
        </w:rPr>
        <w:t>has</w:t>
      </w:r>
      <w:r w:rsidRPr="00C51A45">
        <w:rPr>
          <w:rFonts w:ascii="Times New Roman" w:hAnsi="Times New Roman" w:cs="Times New Roman"/>
          <w:color w:val="000000"/>
          <w:sz w:val="24"/>
          <w:szCs w:val="24"/>
          <w:shd w:val="clear" w:color="auto" w:fill="FFFFFF"/>
          <w:lang w:val="en-US"/>
        </w:rPr>
        <w:t xml:space="preserve"> significant potential as a renewable energy source. </w:t>
      </w:r>
    </w:p>
    <w:p w:rsidR="00FA4F8B" w:rsidRPr="00C51A45" w:rsidRDefault="00FA4F8B" w:rsidP="00C51A45">
      <w:pPr>
        <w:pStyle w:val="Paragrafoelenco"/>
        <w:numPr>
          <w:ilvl w:val="0"/>
          <w:numId w:val="4"/>
        </w:numPr>
        <w:ind w:left="0"/>
        <w:jc w:val="both"/>
        <w:rPr>
          <w:rFonts w:ascii="Times New Roman" w:hAnsi="Times New Roman" w:cs="Times New Roman"/>
          <w:color w:val="000000"/>
          <w:sz w:val="24"/>
          <w:szCs w:val="24"/>
          <w:shd w:val="clear" w:color="auto" w:fill="FFFFFF"/>
        </w:rPr>
      </w:pPr>
      <w:r w:rsidRPr="00C51A45">
        <w:rPr>
          <w:rFonts w:ascii="Times New Roman" w:hAnsi="Times New Roman" w:cs="Times New Roman"/>
          <w:color w:val="000000"/>
          <w:sz w:val="24"/>
          <w:szCs w:val="24"/>
          <w:shd w:val="clear" w:color="auto" w:fill="FFFFFF"/>
        </w:rPr>
        <w:t>Biological Reactions:Methanogenicarchaea use the hydrogen and carbon dioxide produced earlier in the process to make methane. A series of biological events transform carbon molecules to methane in this process.</w:t>
      </w:r>
    </w:p>
    <w:p w:rsidR="00FA4F8B" w:rsidRPr="00C51A45" w:rsidRDefault="00FA4F8B" w:rsidP="00C51A45">
      <w:pPr>
        <w:pStyle w:val="Paragrafoelenco"/>
        <w:numPr>
          <w:ilvl w:val="0"/>
          <w:numId w:val="4"/>
        </w:numPr>
        <w:ind w:left="0"/>
        <w:jc w:val="both"/>
        <w:rPr>
          <w:rFonts w:ascii="Times New Roman" w:hAnsi="Times New Roman" w:cs="Times New Roman"/>
          <w:color w:val="000000"/>
          <w:sz w:val="24"/>
          <w:szCs w:val="24"/>
          <w:shd w:val="clear" w:color="auto" w:fill="FFFFFF"/>
        </w:rPr>
      </w:pPr>
      <w:r w:rsidRPr="00C51A45">
        <w:rPr>
          <w:rFonts w:ascii="Times New Roman" w:hAnsi="Times New Roman" w:cs="Times New Roman"/>
          <w:color w:val="000000"/>
          <w:sz w:val="24"/>
          <w:szCs w:val="24"/>
          <w:shd w:val="clear" w:color="auto" w:fill="FFFFFF"/>
        </w:rPr>
        <w:lastRenderedPageBreak/>
        <w:t>Microbial Species: Well-known methanogenicarchaea include Methanobacterium, Methanosarcina, and Methanococcus. These archaea thrive in anaerobic settings and produce a lot of methane.</w:t>
      </w:r>
    </w:p>
    <w:p w:rsidR="00FA4F8B" w:rsidRPr="00C51A45" w:rsidRDefault="00FA4F8B" w:rsidP="00C51A45">
      <w:pPr>
        <w:pStyle w:val="Paragrafoelenco"/>
        <w:numPr>
          <w:ilvl w:val="0"/>
          <w:numId w:val="4"/>
        </w:numPr>
        <w:ind w:left="0"/>
        <w:jc w:val="both"/>
        <w:rPr>
          <w:rFonts w:ascii="Times New Roman" w:hAnsi="Times New Roman" w:cs="Times New Roman"/>
          <w:color w:val="000000"/>
          <w:sz w:val="24"/>
          <w:szCs w:val="24"/>
          <w:shd w:val="clear" w:color="auto" w:fill="FFFFFF"/>
        </w:rPr>
      </w:pPr>
      <w:r w:rsidRPr="00C51A45">
        <w:rPr>
          <w:rFonts w:ascii="Times New Roman" w:hAnsi="Times New Roman" w:cs="Times New Roman"/>
          <w:color w:val="000000"/>
          <w:sz w:val="24"/>
          <w:szCs w:val="24"/>
          <w:shd w:val="clear" w:color="auto" w:fill="FFFFFF"/>
        </w:rPr>
        <w:t>Chemical Transformations: Hydrogenotrophicmethanogenesis is the process by which carbon dioxide is reduced with hydrogen to create methane and water. Acetoclasticmethanogenesis, on the other hand, is the process by which acetic acid is broken down into methane and carbon dioxide.</w:t>
      </w:r>
    </w:p>
    <w:p w:rsidR="00FA4F8B" w:rsidRPr="00C51A45" w:rsidRDefault="00FA4F8B" w:rsidP="00C51A45">
      <w:pPr>
        <w:jc w:val="both"/>
        <w:rPr>
          <w:rFonts w:ascii="Times New Roman" w:hAnsi="Times New Roman" w:cs="Times New Roman"/>
          <w:bCs/>
          <w:color w:val="000000"/>
          <w:sz w:val="24"/>
          <w:szCs w:val="24"/>
          <w:shd w:val="clear" w:color="auto" w:fill="FFFFFF"/>
          <w:lang w:val="en-US"/>
        </w:rPr>
      </w:pPr>
      <w:r w:rsidRPr="00C51A45">
        <w:rPr>
          <w:rFonts w:ascii="Times New Roman" w:hAnsi="Times New Roman" w:cs="Times New Roman"/>
          <w:b/>
          <w:color w:val="000000"/>
          <w:sz w:val="24"/>
          <w:szCs w:val="24"/>
          <w:shd w:val="clear" w:color="auto" w:fill="FFFFFF"/>
          <w:lang w:val="en-US"/>
        </w:rPr>
        <w:t xml:space="preserve">Gravimetric </w:t>
      </w:r>
      <w:r w:rsidRPr="00C51A45">
        <w:rPr>
          <w:rFonts w:ascii="Times New Roman" w:hAnsi="Times New Roman" w:cs="Times New Roman"/>
          <w:b/>
          <w:bCs/>
          <w:color w:val="000000"/>
          <w:sz w:val="24"/>
          <w:szCs w:val="24"/>
          <w:shd w:val="clear" w:color="auto" w:fill="FFFFFF"/>
          <w:lang w:val="en-US"/>
        </w:rPr>
        <w:t>separation:</w:t>
      </w:r>
      <w:r w:rsidRPr="00C51A45">
        <w:rPr>
          <w:rFonts w:ascii="Times New Roman" w:hAnsi="Times New Roman" w:cs="Times New Roman"/>
          <w:color w:val="000000"/>
          <w:sz w:val="24"/>
          <w:szCs w:val="24"/>
          <w:shd w:val="clear" w:color="auto" w:fill="FFFFFF"/>
          <w:lang w:val="en-US"/>
        </w:rPr>
        <w:t xml:space="preserve"> This step refines the </w:t>
      </w:r>
      <w:r w:rsidRPr="00C51A45">
        <w:rPr>
          <w:rFonts w:ascii="Times New Roman" w:hAnsi="Times New Roman" w:cs="Times New Roman"/>
          <w:bCs/>
          <w:color w:val="000000"/>
          <w:sz w:val="24"/>
          <w:szCs w:val="24"/>
          <w:shd w:val="clear" w:color="auto" w:fill="FFFFFF"/>
          <w:lang w:val="en-US"/>
        </w:rPr>
        <w:t>product</w:t>
      </w:r>
      <w:r w:rsidRPr="00C51A45">
        <w:rPr>
          <w:rFonts w:ascii="Times New Roman" w:hAnsi="Times New Roman" w:cs="Times New Roman"/>
          <w:color w:val="000000"/>
          <w:sz w:val="24"/>
          <w:szCs w:val="24"/>
          <w:shd w:val="clear" w:color="auto" w:fill="FFFFFF"/>
          <w:lang w:val="en-US"/>
        </w:rPr>
        <w:t xml:space="preserve"> by </w:t>
      </w:r>
      <w:r w:rsidRPr="00C51A45">
        <w:rPr>
          <w:rFonts w:ascii="Times New Roman" w:hAnsi="Times New Roman" w:cs="Times New Roman"/>
          <w:bCs/>
          <w:color w:val="000000"/>
          <w:sz w:val="24"/>
          <w:szCs w:val="24"/>
          <w:shd w:val="clear" w:color="auto" w:fill="FFFFFF"/>
          <w:lang w:val="en-US"/>
        </w:rPr>
        <w:t>separating</w:t>
      </w:r>
      <w:r w:rsidRPr="00C51A45">
        <w:rPr>
          <w:rFonts w:ascii="Times New Roman" w:hAnsi="Times New Roman" w:cs="Times New Roman"/>
          <w:color w:val="000000"/>
          <w:sz w:val="24"/>
          <w:szCs w:val="24"/>
          <w:shd w:val="clear" w:color="auto" w:fill="FFFFFF"/>
          <w:lang w:val="en-US"/>
        </w:rPr>
        <w:t xml:space="preserve"> it into </w:t>
      </w:r>
      <w:r w:rsidRPr="00C51A45">
        <w:rPr>
          <w:rFonts w:ascii="Times New Roman" w:hAnsi="Times New Roman" w:cs="Times New Roman"/>
          <w:bCs/>
          <w:color w:val="000000"/>
          <w:sz w:val="24"/>
          <w:szCs w:val="24"/>
          <w:shd w:val="clear" w:color="auto" w:fill="FFFFFF"/>
          <w:lang w:val="en-US"/>
        </w:rPr>
        <w:t>oil</w:t>
      </w:r>
      <w:r w:rsidRPr="00C51A45">
        <w:rPr>
          <w:rFonts w:ascii="Times New Roman" w:hAnsi="Times New Roman" w:cs="Times New Roman"/>
          <w:color w:val="000000"/>
          <w:sz w:val="24"/>
          <w:szCs w:val="24"/>
          <w:shd w:val="clear" w:color="auto" w:fill="FFFFFF"/>
          <w:lang w:val="en-US"/>
        </w:rPr>
        <w:t xml:space="preserve"> and </w:t>
      </w:r>
      <w:r w:rsidRPr="00C51A45">
        <w:rPr>
          <w:rFonts w:ascii="Times New Roman" w:hAnsi="Times New Roman" w:cs="Times New Roman"/>
          <w:bCs/>
          <w:color w:val="000000"/>
          <w:sz w:val="24"/>
          <w:szCs w:val="24"/>
          <w:shd w:val="clear" w:color="auto" w:fill="FFFFFF"/>
          <w:lang w:val="en-US"/>
        </w:rPr>
        <w:t>protein phases and separating the</w:t>
      </w:r>
      <w:r w:rsidRPr="00C51A45">
        <w:rPr>
          <w:rFonts w:ascii="Times New Roman" w:hAnsi="Times New Roman" w:cs="Times New Roman"/>
          <w:color w:val="000000"/>
          <w:sz w:val="24"/>
          <w:szCs w:val="24"/>
          <w:shd w:val="clear" w:color="auto" w:fill="FFFFFF"/>
          <w:lang w:val="en-US"/>
        </w:rPr>
        <w:t xml:space="preserve"> NPK </w:t>
      </w:r>
      <w:r w:rsidRPr="00C51A45">
        <w:rPr>
          <w:rFonts w:ascii="Times New Roman" w:hAnsi="Times New Roman" w:cs="Times New Roman"/>
          <w:bCs/>
          <w:color w:val="000000"/>
          <w:sz w:val="24"/>
          <w:szCs w:val="24"/>
          <w:shd w:val="clear" w:color="auto" w:fill="FFFFFF"/>
          <w:lang w:val="en-US"/>
        </w:rPr>
        <w:t>brine.</w:t>
      </w:r>
      <w:r w:rsidRPr="00C51A45">
        <w:rPr>
          <w:rFonts w:ascii="Times New Roman" w:hAnsi="Times New Roman" w:cs="Times New Roman"/>
          <w:color w:val="000000"/>
          <w:sz w:val="24"/>
          <w:szCs w:val="24"/>
          <w:shd w:val="clear" w:color="auto" w:fill="FFFFFF"/>
          <w:lang w:val="en-US"/>
        </w:rPr>
        <w:t xml:space="preserve"> This </w:t>
      </w:r>
      <w:r w:rsidRPr="00C51A45">
        <w:rPr>
          <w:rFonts w:ascii="Times New Roman" w:hAnsi="Times New Roman" w:cs="Times New Roman"/>
          <w:bCs/>
          <w:color w:val="000000"/>
          <w:sz w:val="24"/>
          <w:szCs w:val="24"/>
          <w:shd w:val="clear" w:color="auto" w:fill="FFFFFF"/>
          <w:lang w:val="en-US"/>
        </w:rPr>
        <w:t>technology</w:t>
      </w:r>
      <w:r w:rsidRPr="00C51A45">
        <w:rPr>
          <w:rFonts w:ascii="Times New Roman" w:hAnsi="Times New Roman" w:cs="Times New Roman"/>
          <w:color w:val="000000"/>
          <w:sz w:val="24"/>
          <w:szCs w:val="24"/>
          <w:shd w:val="clear" w:color="auto" w:fill="FFFFFF"/>
          <w:lang w:val="en-US"/>
        </w:rPr>
        <w:t xml:space="preserve"> ensures </w:t>
      </w:r>
      <w:r w:rsidRPr="00C51A45">
        <w:rPr>
          <w:rFonts w:ascii="Times New Roman" w:hAnsi="Times New Roman" w:cs="Times New Roman"/>
          <w:bCs/>
          <w:color w:val="000000"/>
          <w:sz w:val="24"/>
          <w:szCs w:val="24"/>
          <w:shd w:val="clear" w:color="auto" w:fill="FFFFFF"/>
          <w:lang w:val="en-US"/>
        </w:rPr>
        <w:t>that</w:t>
      </w:r>
      <w:r w:rsidRPr="00C51A45">
        <w:rPr>
          <w:rFonts w:ascii="Times New Roman" w:hAnsi="Times New Roman" w:cs="Times New Roman"/>
          <w:color w:val="000000"/>
          <w:sz w:val="24"/>
          <w:szCs w:val="24"/>
          <w:shd w:val="clear" w:color="auto" w:fill="FFFFFF"/>
          <w:lang w:val="en-US"/>
        </w:rPr>
        <w:t xml:space="preserve"> the extraction process runs </w:t>
      </w:r>
      <w:r w:rsidRPr="00C51A45">
        <w:rPr>
          <w:rFonts w:ascii="Times New Roman" w:hAnsi="Times New Roman" w:cs="Times New Roman"/>
          <w:bCs/>
          <w:color w:val="000000"/>
          <w:sz w:val="24"/>
          <w:szCs w:val="24"/>
          <w:shd w:val="clear" w:color="auto" w:fill="FFFFFF"/>
          <w:lang w:val="en-US"/>
        </w:rPr>
        <w:t>smoothly.</w:t>
      </w:r>
      <w:r w:rsidRPr="00C51A45">
        <w:rPr>
          <w:rFonts w:ascii="Times New Roman" w:hAnsi="Times New Roman" w:cs="Times New Roman"/>
          <w:color w:val="000000"/>
          <w:sz w:val="24"/>
          <w:szCs w:val="24"/>
          <w:shd w:val="clear" w:color="auto" w:fill="FFFFFF"/>
          <w:lang w:val="en-US"/>
        </w:rPr>
        <w:t xml:space="preserve"> The gravimetric separation process </w:t>
      </w:r>
      <w:r w:rsidRPr="00C51A45">
        <w:rPr>
          <w:rFonts w:ascii="Times New Roman" w:hAnsi="Times New Roman" w:cs="Times New Roman"/>
          <w:bCs/>
          <w:color w:val="000000"/>
          <w:sz w:val="24"/>
          <w:szCs w:val="24"/>
          <w:shd w:val="clear" w:color="auto" w:fill="FFFFFF"/>
          <w:lang w:val="en-US"/>
        </w:rPr>
        <w:t>uses</w:t>
      </w:r>
      <w:r w:rsidRPr="00C51A45">
        <w:rPr>
          <w:rFonts w:ascii="Times New Roman" w:hAnsi="Times New Roman" w:cs="Times New Roman"/>
          <w:color w:val="000000"/>
          <w:sz w:val="24"/>
          <w:szCs w:val="24"/>
          <w:shd w:val="clear" w:color="auto" w:fill="FFFFFF"/>
          <w:lang w:val="en-US"/>
        </w:rPr>
        <w:t xml:space="preserve"> the </w:t>
      </w:r>
      <w:r w:rsidRPr="00C51A45">
        <w:rPr>
          <w:rFonts w:ascii="Times New Roman" w:hAnsi="Times New Roman" w:cs="Times New Roman"/>
          <w:bCs/>
          <w:color w:val="000000"/>
          <w:sz w:val="24"/>
          <w:szCs w:val="24"/>
          <w:shd w:val="clear" w:color="auto" w:fill="FFFFFF"/>
          <w:lang w:val="en-US"/>
        </w:rPr>
        <w:t>density</w:t>
      </w:r>
      <w:r w:rsidRPr="00C51A45">
        <w:rPr>
          <w:rFonts w:ascii="Times New Roman" w:hAnsi="Times New Roman" w:cs="Times New Roman"/>
          <w:color w:val="000000"/>
          <w:sz w:val="24"/>
          <w:szCs w:val="24"/>
          <w:shd w:val="clear" w:color="auto" w:fill="FFFFFF"/>
          <w:lang w:val="en-US"/>
        </w:rPr>
        <w:t xml:space="preserve"> differences </w:t>
      </w:r>
      <w:r w:rsidRPr="00C51A45">
        <w:rPr>
          <w:rFonts w:ascii="Times New Roman" w:hAnsi="Times New Roman" w:cs="Times New Roman"/>
          <w:bCs/>
          <w:color w:val="000000"/>
          <w:sz w:val="24"/>
          <w:szCs w:val="24"/>
          <w:shd w:val="clear" w:color="auto" w:fill="FFFFFF"/>
          <w:lang w:val="en-US"/>
        </w:rPr>
        <w:t>of</w:t>
      </w:r>
      <w:r w:rsidRPr="00C51A45">
        <w:rPr>
          <w:rFonts w:ascii="Times New Roman" w:hAnsi="Times New Roman" w:cs="Times New Roman"/>
          <w:color w:val="000000"/>
          <w:sz w:val="24"/>
          <w:szCs w:val="24"/>
          <w:shd w:val="clear" w:color="auto" w:fill="FFFFFF"/>
          <w:lang w:val="en-US"/>
        </w:rPr>
        <w:t xml:space="preserve"> the various components. </w:t>
      </w:r>
      <w:r w:rsidRPr="00C51A45">
        <w:rPr>
          <w:rFonts w:ascii="Times New Roman" w:hAnsi="Times New Roman" w:cs="Times New Roman"/>
          <w:bCs/>
          <w:color w:val="000000"/>
          <w:sz w:val="24"/>
          <w:szCs w:val="24"/>
          <w:shd w:val="clear" w:color="auto" w:fill="FFFFFF"/>
          <w:lang w:val="en-US"/>
        </w:rPr>
        <w:t>Mainly the lighter oil phase</w:t>
      </w:r>
      <w:r w:rsidRPr="00C51A45">
        <w:rPr>
          <w:rFonts w:ascii="Times New Roman" w:hAnsi="Times New Roman" w:cs="Times New Roman"/>
          <w:color w:val="000000"/>
          <w:sz w:val="24"/>
          <w:szCs w:val="24"/>
          <w:shd w:val="clear" w:color="auto" w:fill="FFFFFF"/>
          <w:lang w:val="en-US"/>
        </w:rPr>
        <w:t xml:space="preserve"> floats to the surface, </w:t>
      </w:r>
      <w:r w:rsidRPr="00C51A45">
        <w:rPr>
          <w:rFonts w:ascii="Times New Roman" w:hAnsi="Times New Roman" w:cs="Times New Roman"/>
          <w:bCs/>
          <w:color w:val="000000"/>
          <w:sz w:val="24"/>
          <w:szCs w:val="24"/>
          <w:shd w:val="clear" w:color="auto" w:fill="FFFFFF"/>
          <w:lang w:val="en-US"/>
        </w:rPr>
        <w:t>mainly</w:t>
      </w:r>
      <w:r w:rsidRPr="00C51A45">
        <w:rPr>
          <w:rFonts w:ascii="Times New Roman" w:hAnsi="Times New Roman" w:cs="Times New Roman"/>
          <w:color w:val="000000"/>
          <w:sz w:val="24"/>
          <w:szCs w:val="24"/>
          <w:shd w:val="clear" w:color="auto" w:fill="FFFFFF"/>
          <w:lang w:val="en-US"/>
        </w:rPr>
        <w:t xml:space="preserve"> the </w:t>
      </w:r>
      <w:r w:rsidRPr="00C51A45">
        <w:rPr>
          <w:rFonts w:ascii="Times New Roman" w:hAnsi="Times New Roman" w:cs="Times New Roman"/>
          <w:bCs/>
          <w:color w:val="000000"/>
          <w:sz w:val="24"/>
          <w:szCs w:val="24"/>
          <w:shd w:val="clear" w:color="auto" w:fill="FFFFFF"/>
          <w:lang w:val="en-US"/>
        </w:rPr>
        <w:t>protein</w:t>
      </w:r>
      <w:r w:rsidRPr="00C51A45">
        <w:rPr>
          <w:rFonts w:ascii="Times New Roman" w:hAnsi="Times New Roman" w:cs="Times New Roman"/>
          <w:color w:val="000000"/>
          <w:sz w:val="24"/>
          <w:szCs w:val="24"/>
          <w:shd w:val="clear" w:color="auto" w:fill="FFFFFF"/>
          <w:lang w:val="en-US"/>
        </w:rPr>
        <w:t xml:space="preserve"> phase, </w:t>
      </w:r>
      <w:r w:rsidRPr="00C51A45">
        <w:rPr>
          <w:rFonts w:ascii="Times New Roman" w:hAnsi="Times New Roman" w:cs="Times New Roman"/>
          <w:bCs/>
          <w:color w:val="000000"/>
          <w:sz w:val="24"/>
          <w:szCs w:val="24"/>
          <w:shd w:val="clear" w:color="auto" w:fill="FFFFFF"/>
          <w:lang w:val="en-US"/>
        </w:rPr>
        <w:t>which is</w:t>
      </w:r>
      <w:r w:rsidRPr="00C51A45">
        <w:rPr>
          <w:rFonts w:ascii="Times New Roman" w:hAnsi="Times New Roman" w:cs="Times New Roman"/>
          <w:color w:val="000000"/>
          <w:sz w:val="24"/>
          <w:szCs w:val="24"/>
          <w:shd w:val="clear" w:color="auto" w:fill="FFFFFF"/>
          <w:lang w:val="en-US"/>
        </w:rPr>
        <w:t xml:space="preserve"> heavier, settles </w:t>
      </w:r>
      <w:r w:rsidRPr="00C51A45">
        <w:rPr>
          <w:rFonts w:ascii="Times New Roman" w:hAnsi="Times New Roman" w:cs="Times New Roman"/>
          <w:bCs/>
          <w:color w:val="000000"/>
          <w:sz w:val="24"/>
          <w:szCs w:val="24"/>
          <w:shd w:val="clear" w:color="auto" w:fill="FFFFFF"/>
          <w:lang w:val="en-US"/>
        </w:rPr>
        <w:t>to</w:t>
      </w:r>
      <w:r w:rsidRPr="00C51A45">
        <w:rPr>
          <w:rFonts w:ascii="Times New Roman" w:hAnsi="Times New Roman" w:cs="Times New Roman"/>
          <w:color w:val="000000"/>
          <w:sz w:val="24"/>
          <w:szCs w:val="24"/>
          <w:shd w:val="clear" w:color="auto" w:fill="FFFFFF"/>
          <w:lang w:val="en-US"/>
        </w:rPr>
        <w:t xml:space="preserve"> the bottom. This separation process is critical </w:t>
      </w:r>
      <w:r w:rsidRPr="00C51A45">
        <w:rPr>
          <w:rFonts w:ascii="Times New Roman" w:hAnsi="Times New Roman" w:cs="Times New Roman"/>
          <w:bCs/>
          <w:color w:val="000000"/>
          <w:sz w:val="24"/>
          <w:szCs w:val="24"/>
          <w:shd w:val="clear" w:color="auto" w:fill="FFFFFF"/>
          <w:lang w:val="en-US"/>
        </w:rPr>
        <w:t>to obtain</w:t>
      </w:r>
      <w:r w:rsidRPr="00C51A45">
        <w:rPr>
          <w:rFonts w:ascii="Times New Roman" w:hAnsi="Times New Roman" w:cs="Times New Roman"/>
          <w:color w:val="000000"/>
          <w:sz w:val="24"/>
          <w:szCs w:val="24"/>
          <w:shd w:val="clear" w:color="auto" w:fill="FFFFFF"/>
          <w:lang w:val="en-US"/>
        </w:rPr>
        <w:t xml:space="preserve"> individual components in their purest form, ready for further industrial </w:t>
      </w:r>
      <w:r w:rsidRPr="00C51A45">
        <w:rPr>
          <w:rFonts w:ascii="Times New Roman" w:hAnsi="Times New Roman" w:cs="Times New Roman"/>
          <w:bCs/>
          <w:color w:val="000000"/>
          <w:sz w:val="24"/>
          <w:szCs w:val="24"/>
          <w:shd w:val="clear" w:color="auto" w:fill="FFFFFF"/>
          <w:lang w:val="en-US"/>
        </w:rPr>
        <w:t>use.</w:t>
      </w:r>
    </w:p>
    <w:p w:rsidR="00FA4F8B" w:rsidRPr="00C51A45" w:rsidRDefault="00FA4F8B" w:rsidP="00C51A45">
      <w:pPr>
        <w:pStyle w:val="Paragrafoelenco"/>
        <w:numPr>
          <w:ilvl w:val="0"/>
          <w:numId w:val="5"/>
        </w:numPr>
        <w:ind w:left="0"/>
        <w:jc w:val="both"/>
        <w:rPr>
          <w:rFonts w:ascii="Times New Roman" w:hAnsi="Times New Roman" w:cs="Times New Roman"/>
          <w:sz w:val="24"/>
          <w:szCs w:val="24"/>
        </w:rPr>
      </w:pPr>
      <w:r w:rsidRPr="00C51A45">
        <w:rPr>
          <w:rFonts w:ascii="Times New Roman" w:hAnsi="Times New Roman" w:cs="Times New Roman"/>
          <w:sz w:val="24"/>
          <w:szCs w:val="24"/>
        </w:rPr>
        <w:t>Biological processes (Not Applicable): The gravimetric separation phase, unlike the previous phases, does not involve biological processes. Instead, it is based on physical considerations of density.</w:t>
      </w:r>
    </w:p>
    <w:p w:rsidR="00FA4F8B" w:rsidRPr="00C51A45" w:rsidRDefault="00FA4F8B" w:rsidP="00C51A45">
      <w:pPr>
        <w:pStyle w:val="Paragrafoelenco"/>
        <w:numPr>
          <w:ilvl w:val="0"/>
          <w:numId w:val="5"/>
        </w:numPr>
        <w:ind w:left="0"/>
        <w:jc w:val="both"/>
        <w:rPr>
          <w:rFonts w:ascii="Times New Roman" w:hAnsi="Times New Roman" w:cs="Times New Roman"/>
          <w:sz w:val="24"/>
          <w:szCs w:val="24"/>
        </w:rPr>
      </w:pPr>
      <w:r w:rsidRPr="00C51A45">
        <w:rPr>
          <w:rFonts w:ascii="Times New Roman" w:hAnsi="Times New Roman" w:cs="Times New Roman"/>
          <w:sz w:val="24"/>
          <w:szCs w:val="24"/>
        </w:rPr>
        <w:lastRenderedPageBreak/>
        <w:t>Microbial Species (Not Applicable): Because this is a physical separation process, microbial species are not directly engaged.</w:t>
      </w:r>
    </w:p>
    <w:p w:rsidR="00FA4F8B" w:rsidRPr="00C51A45" w:rsidRDefault="00FA4F8B" w:rsidP="00C51A45">
      <w:pPr>
        <w:pStyle w:val="Paragrafoelenco"/>
        <w:numPr>
          <w:ilvl w:val="0"/>
          <w:numId w:val="5"/>
        </w:numPr>
        <w:ind w:left="0"/>
        <w:jc w:val="both"/>
        <w:rPr>
          <w:rFonts w:ascii="Times New Roman" w:hAnsi="Times New Roman" w:cs="Times New Roman"/>
          <w:sz w:val="24"/>
          <w:szCs w:val="24"/>
        </w:rPr>
      </w:pPr>
      <w:r w:rsidRPr="00C51A45">
        <w:rPr>
          <w:rFonts w:ascii="Times New Roman" w:hAnsi="Times New Roman" w:cs="Times New Roman"/>
          <w:sz w:val="24"/>
          <w:szCs w:val="24"/>
        </w:rPr>
        <w:t>Chemical Transformations (Not Applicable): Because gravimetric separation is largely a physical separation process, no chemical transformations occur.</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Claims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color w:val="000000"/>
          <w:sz w:val="24"/>
          <w:szCs w:val="24"/>
          <w:shd w:val="clear" w:color="auto" w:fill="FFFFFF"/>
          <w:lang w:val="en-US"/>
        </w:rPr>
        <w:t xml:space="preserve">The patent </w:t>
      </w:r>
      <w:r w:rsidRPr="00C51A45">
        <w:rPr>
          <w:rFonts w:ascii="Times New Roman" w:hAnsi="Times New Roman" w:cs="Times New Roman"/>
          <w:bCs/>
          <w:color w:val="000000"/>
          <w:sz w:val="24"/>
          <w:szCs w:val="24"/>
          <w:shd w:val="clear" w:color="auto" w:fill="FFFFFF"/>
          <w:lang w:val="en-US"/>
        </w:rPr>
        <w:t>claims</w:t>
      </w:r>
      <w:r w:rsidRPr="00C51A45">
        <w:rPr>
          <w:rFonts w:ascii="Times New Roman" w:hAnsi="Times New Roman" w:cs="Times New Roman"/>
          <w:color w:val="000000"/>
          <w:sz w:val="24"/>
          <w:szCs w:val="24"/>
          <w:shd w:val="clear" w:color="auto" w:fill="FFFFFF"/>
          <w:lang w:val="en-US"/>
        </w:rPr>
        <w:t xml:space="preserve"> several innovative aspects. It </w:t>
      </w:r>
      <w:r w:rsidRPr="00C51A45">
        <w:rPr>
          <w:rFonts w:ascii="Times New Roman" w:hAnsi="Times New Roman" w:cs="Times New Roman"/>
          <w:bCs/>
          <w:color w:val="000000"/>
          <w:sz w:val="24"/>
          <w:szCs w:val="24"/>
          <w:shd w:val="clear" w:color="auto" w:fill="FFFFFF"/>
          <w:lang w:val="en-US"/>
        </w:rPr>
        <w:t>claims</w:t>
      </w:r>
      <w:r w:rsidRPr="00C51A45">
        <w:rPr>
          <w:rFonts w:ascii="Times New Roman" w:hAnsi="Times New Roman" w:cs="Times New Roman"/>
          <w:color w:val="000000"/>
          <w:sz w:val="24"/>
          <w:szCs w:val="24"/>
          <w:shd w:val="clear" w:color="auto" w:fill="FFFFFF"/>
          <w:lang w:val="en-US"/>
        </w:rPr>
        <w:t xml:space="preserve"> ownership </w:t>
      </w:r>
      <w:r w:rsidRPr="00C51A45">
        <w:rPr>
          <w:rFonts w:ascii="Times New Roman" w:hAnsi="Times New Roman" w:cs="Times New Roman"/>
          <w:bCs/>
          <w:color w:val="000000"/>
          <w:sz w:val="24"/>
          <w:szCs w:val="24"/>
          <w:shd w:val="clear" w:color="auto" w:fill="FFFFFF"/>
          <w:lang w:val="en-US"/>
        </w:rPr>
        <w:t>of</w:t>
      </w:r>
      <w:r w:rsidRPr="00C51A45">
        <w:rPr>
          <w:rFonts w:ascii="Times New Roman" w:hAnsi="Times New Roman" w:cs="Times New Roman"/>
          <w:color w:val="000000"/>
          <w:sz w:val="24"/>
          <w:szCs w:val="24"/>
          <w:shd w:val="clear" w:color="auto" w:fill="FFFFFF"/>
          <w:lang w:val="en-US"/>
        </w:rPr>
        <w:t xml:space="preserve"> the </w:t>
      </w:r>
      <w:r w:rsidRPr="00C51A45">
        <w:rPr>
          <w:rFonts w:ascii="Times New Roman" w:hAnsi="Times New Roman" w:cs="Times New Roman"/>
          <w:bCs/>
          <w:color w:val="000000"/>
          <w:sz w:val="24"/>
          <w:szCs w:val="24"/>
          <w:shd w:val="clear" w:color="auto" w:fill="FFFFFF"/>
          <w:lang w:val="en-US"/>
        </w:rPr>
        <w:t>various degradation steps</w:t>
      </w:r>
      <w:r w:rsidRPr="00C51A45">
        <w:rPr>
          <w:rFonts w:ascii="Times New Roman" w:hAnsi="Times New Roman" w:cs="Times New Roman"/>
          <w:color w:val="000000"/>
          <w:sz w:val="24"/>
          <w:szCs w:val="24"/>
          <w:shd w:val="clear" w:color="auto" w:fill="FFFFFF"/>
          <w:lang w:val="en-US"/>
        </w:rPr>
        <w:t xml:space="preserve"> and the gravimetric separation of the resulting components. </w:t>
      </w:r>
      <w:r w:rsidRPr="00C51A45">
        <w:rPr>
          <w:rFonts w:ascii="Times New Roman" w:hAnsi="Times New Roman" w:cs="Times New Roman"/>
          <w:bCs/>
          <w:color w:val="000000"/>
          <w:sz w:val="24"/>
          <w:szCs w:val="24"/>
          <w:shd w:val="clear" w:color="auto" w:fill="FFFFFF"/>
          <w:lang w:val="en-US"/>
        </w:rPr>
        <w:t>In addition,</w:t>
      </w:r>
      <w:r w:rsidRPr="00C51A45">
        <w:rPr>
          <w:rFonts w:ascii="Times New Roman" w:hAnsi="Times New Roman" w:cs="Times New Roman"/>
          <w:color w:val="000000"/>
          <w:sz w:val="24"/>
          <w:szCs w:val="24"/>
          <w:shd w:val="clear" w:color="auto" w:fill="FFFFFF"/>
          <w:lang w:val="en-US"/>
        </w:rPr>
        <w:t xml:space="preserve"> the configuration of the device, </w:t>
      </w:r>
      <w:r w:rsidRPr="00C51A45">
        <w:rPr>
          <w:rFonts w:ascii="Times New Roman" w:hAnsi="Times New Roman" w:cs="Times New Roman"/>
          <w:bCs/>
          <w:color w:val="000000"/>
          <w:sz w:val="24"/>
          <w:szCs w:val="24"/>
          <w:shd w:val="clear" w:color="auto" w:fill="FFFFFF"/>
          <w:lang w:val="en-US"/>
        </w:rPr>
        <w:t>which includes</w:t>
      </w:r>
      <w:r w:rsidRPr="00C51A45">
        <w:rPr>
          <w:rFonts w:ascii="Times New Roman" w:hAnsi="Times New Roman" w:cs="Times New Roman"/>
          <w:color w:val="000000"/>
          <w:sz w:val="24"/>
          <w:szCs w:val="24"/>
          <w:shd w:val="clear" w:color="auto" w:fill="FFFFFF"/>
          <w:lang w:val="en-US"/>
        </w:rPr>
        <w:t xml:space="preserve"> the </w:t>
      </w:r>
      <w:r w:rsidRPr="00C51A45">
        <w:rPr>
          <w:rFonts w:ascii="Times New Roman" w:hAnsi="Times New Roman" w:cs="Times New Roman"/>
          <w:bCs/>
          <w:color w:val="000000"/>
          <w:sz w:val="24"/>
          <w:szCs w:val="24"/>
          <w:shd w:val="clear" w:color="auto" w:fill="FFFFFF"/>
          <w:lang w:val="en-US"/>
        </w:rPr>
        <w:t>sink, deflectors</w:t>
      </w:r>
      <w:r w:rsidRPr="00C51A45">
        <w:rPr>
          <w:rFonts w:ascii="Times New Roman" w:hAnsi="Times New Roman" w:cs="Times New Roman"/>
          <w:color w:val="000000"/>
          <w:sz w:val="24"/>
          <w:szCs w:val="24"/>
          <w:shd w:val="clear" w:color="auto" w:fill="FFFFFF"/>
          <w:lang w:val="en-US"/>
        </w:rPr>
        <w:t xml:space="preserve"> and gas </w:t>
      </w:r>
      <w:r w:rsidRPr="00C51A45">
        <w:rPr>
          <w:rFonts w:ascii="Times New Roman" w:hAnsi="Times New Roman" w:cs="Times New Roman"/>
          <w:bCs/>
          <w:color w:val="000000"/>
          <w:sz w:val="24"/>
          <w:szCs w:val="24"/>
          <w:shd w:val="clear" w:color="auto" w:fill="FFFFFF"/>
          <w:lang w:val="en-US"/>
        </w:rPr>
        <w:t>separation blocks,</w:t>
      </w:r>
      <w:r w:rsidRPr="00C51A45">
        <w:rPr>
          <w:rFonts w:ascii="Times New Roman" w:hAnsi="Times New Roman" w:cs="Times New Roman"/>
          <w:color w:val="000000"/>
          <w:sz w:val="24"/>
          <w:szCs w:val="24"/>
          <w:shd w:val="clear" w:color="auto" w:fill="FFFFFF"/>
          <w:lang w:val="en-US"/>
        </w:rPr>
        <w:t xml:space="preserve"> is also protected by patent. These inventive contributions are </w:t>
      </w:r>
      <w:r w:rsidRPr="00C51A45">
        <w:rPr>
          <w:rFonts w:ascii="Times New Roman" w:hAnsi="Times New Roman" w:cs="Times New Roman"/>
          <w:bCs/>
          <w:color w:val="000000"/>
          <w:sz w:val="24"/>
          <w:szCs w:val="24"/>
          <w:shd w:val="clear" w:color="auto" w:fill="FFFFFF"/>
          <w:lang w:val="en-US"/>
        </w:rPr>
        <w:t>presented</w:t>
      </w:r>
      <w:r w:rsidRPr="00C51A45">
        <w:rPr>
          <w:rFonts w:ascii="Times New Roman" w:hAnsi="Times New Roman" w:cs="Times New Roman"/>
          <w:color w:val="000000"/>
          <w:sz w:val="24"/>
          <w:szCs w:val="24"/>
          <w:shd w:val="clear" w:color="auto" w:fill="FFFFFF"/>
          <w:lang w:val="en-US"/>
        </w:rPr>
        <w:t xml:space="preserve"> in the </w:t>
      </w:r>
      <w:r w:rsidRPr="00C51A45">
        <w:rPr>
          <w:rFonts w:ascii="Times New Roman" w:hAnsi="Times New Roman" w:cs="Times New Roman"/>
          <w:bCs/>
          <w:color w:val="000000"/>
          <w:sz w:val="24"/>
          <w:szCs w:val="24"/>
          <w:shd w:val="clear" w:color="auto" w:fill="FFFFFF"/>
          <w:lang w:val="en-US"/>
        </w:rPr>
        <w:t>patent</w:t>
      </w:r>
      <w:r w:rsidRPr="00C51A45">
        <w:rPr>
          <w:rFonts w:ascii="Times New Roman" w:hAnsi="Times New Roman" w:cs="Times New Roman"/>
          <w:color w:val="000000"/>
          <w:sz w:val="24"/>
          <w:szCs w:val="24"/>
          <w:shd w:val="clear" w:color="auto" w:fill="FFFFFF"/>
          <w:lang w:val="en-US"/>
        </w:rPr>
        <w:t xml:space="preserve"> claims.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Drawing</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drawing shows the basin, baffles, and gas separation blocks, giving a visual depiction of the device's structure. It is an invaluable resource for comprehending how the patented process is actually put into practise.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Analysis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MBGC-Digester patent is a ground-breaking method of resource extraction that is sustainable. Specific microorganisms help its orderly degradation process, </w:t>
      </w:r>
      <w:r w:rsidRPr="00C51A45">
        <w:rPr>
          <w:rFonts w:ascii="Times New Roman" w:hAnsi="Times New Roman" w:cs="Times New Roman"/>
          <w:sz w:val="24"/>
          <w:szCs w:val="24"/>
          <w:lang w:val="en-US"/>
        </w:rPr>
        <w:lastRenderedPageBreak/>
        <w:t>which ensures the effective extraction of vital components. The result is further improved using the gravimetric separation approach. The basin, baffles, and gas separation blocks in the device's design allow for the method's efficient execution. This invention has a lot of potential for use in a variety of sectors that need to extract resources from organic stuff. Its contributions support the objectives of resource conservation and sustainability.</w:t>
      </w: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524445">
      <w:pPr>
        <w:pStyle w:val="Titolo1"/>
        <w:rPr>
          <w:lang w:val="en-US"/>
        </w:rPr>
      </w:pPr>
      <w:bookmarkStart w:id="26" w:name="_Toc151759464"/>
      <w:r w:rsidRPr="00C51A45">
        <w:rPr>
          <w:lang w:val="en-US"/>
        </w:rPr>
        <w:lastRenderedPageBreak/>
        <w:t>Assessment by Comparing: Globally Managing Sustainable Land Objective 15.1: Evaluating National and International Practises</w:t>
      </w:r>
      <w:bookmarkEnd w:id="26"/>
    </w:p>
    <w:p w:rsidR="00524445" w:rsidRDefault="00524445" w:rsidP="00C51A45">
      <w:pPr>
        <w:jc w:val="both"/>
        <w:rPr>
          <w:rFonts w:ascii="Times New Roman" w:hAnsi="Times New Roman" w:cs="Times New Roman"/>
          <w:b/>
          <w:sz w:val="24"/>
          <w:szCs w:val="24"/>
          <w:lang w:val="en-US"/>
        </w:rPr>
      </w:pP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 Different Method</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Worldwide Protocols: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Global efforts to achieve Sustainable Development Goal 15.1 differ greatly in terms of their extent and concentration. Countries customize their actions according to the unique characteristics of their various regions, in contrast to global practises that frequently give priority to universal strategies. Plans for soil conservation, reforestation, and the creation of wildlife corridors are carefully crafted to take into account the distinct terrain and ecological features of every country.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Crucial Queries: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How do many nations modify sustainable land management strategies to fit their unique topographies?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Can we learn anything about global scenarios from national approaches?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Do these techniques offer distinctive case studies for the preservation of biodiversity and sustainable land use?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lastRenderedPageBreak/>
        <w:t>Best Methods in the World</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Worldwide initiatives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Plans are being implemented by nations all around the world to address the issues mentioned in SDG 15.1. These include campaigns to reforest, programs to save soil, and the establishment of wildlife corridors. Important insights into the adaptability and scalability of sustainable land management strategies can be obtained by contrasting different international practises with domestic ones.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Critical Points to Remember:</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Are there any similarities in the tactics used by other countries?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Do these techniques provide concrete instances of biodiversity conservation and sustainable land use management?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Acknowledging Achievement and Getting Knowledge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Superb Success Stories: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Numerous worldwide endeavours striving to attain sustainable land management have surfaced as efficacious prototypes. These accomplishments include everything </w:t>
      </w:r>
      <w:r w:rsidRPr="00C51A45">
        <w:rPr>
          <w:rFonts w:ascii="Times New Roman" w:hAnsi="Times New Roman" w:cs="Times New Roman"/>
          <w:sz w:val="24"/>
          <w:szCs w:val="24"/>
          <w:lang w:val="en-US"/>
        </w:rPr>
        <w:lastRenderedPageBreak/>
        <w:t>from the recovery of particularecosystems to the advantages that afforestation has for society.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This section looks at these success examples, breaking down the elements that made them work and coming to generalizable conclusions that can be used in similar situations anywhere in the world.</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Principal Goals: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What concrete outcomes occur from the application of SDG 15.1 in various countries?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How might a collective global approach be informed by the achievements of individual nations?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Worldwide Insights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From a Global Viewpoint: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Success stories from other countries cross national boundaries and offer important insights into the variety of techniques used for sustainable land management. What can be learned from the restoration of damaged landscapes in one area and the revitalization of river ecosystems in another? This section aims to improve our collective understanding of best practises for biodiversity conservation by extracting knowledge that is useful on an international scale.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lastRenderedPageBreak/>
        <w:t>Crucial Queries: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How may international success stories offer insightful information for a deeper comprehension of sustainable land management?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What kind of global policies may be developed with mutual success at their core?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Typical Roadblocks on the Way to SDG 15.</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The impacts of urbanization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achievement of SDG 15.1 is hindered by the global urbanization tendencies that are currently in place. As cities grow, there are fewer green places, which makes it harder to find a careful balance between environmental preservation and urban development. This section looks at how various nations address the problems brought on by urbanization in an effort to discover solutions that balance the needs of expanding populations with the need to protect biodiversity.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Primary Focus Areas: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In terms of sustainable land management, what are the ways that nations may tackle the obstacles that come with urbanization?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What creative strategies can reconcile urban expansion with environmental preservation?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The Complexities of Industrialization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The Industrialization Dynamics: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sz w:val="24"/>
          <w:szCs w:val="24"/>
          <w:lang w:val="en-US"/>
        </w:rPr>
        <w:t>Industrialization impedes global efforts towards sustainable land management. To strike a balance between industry demands and environmental preservation, creative solutions are essential. Countries face a wide range of challenges, from sustainable forestry and agriculture practises to pollution control in industrial centres. This section examines how various nations handle these difficulties and evaluates if lessons learned from international experiences may be used locally.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Main Questions: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How do nations navigate the problems of industrialization while managing their land sustainably?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Can effective strategies for reducing industrial environmental impacts be informed by lessons learned from global experiences?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Cultural Viewpoints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Cultural Dimensions: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The way that people engage with nature is intrinsically influenced by cultural conventions and ideas.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Cultural legacies that demonstrate a concern for the environment aid in international attempts to manage land in a sustainable manner. Cultural factors could, however, provide difficulties, such as opposition to change or different viewpoints on environmental preservation. This section explores the connection between cultural elements and nations' efforts to accomplish SDG 15.1, offering an understanding of how social beliefs influence the success of sustainable initiatives.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Critical Points to Remember:</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What effects might cultural factors have on the accomplishment of sustainable land management initiatives?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What impact does a nation's cultural legacy have on how it approaches biodiversity conservation?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Establishing the Groundwork for an All-encompassing Method</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A thorough comprehension of the many national initiatives and how they relate to the global complexities of Sustainable Development Goal 15.1 lays the groundwork for developing comprehensive, adaptable, and </w:t>
      </w:r>
      <w:r w:rsidRPr="00C51A45">
        <w:rPr>
          <w:rFonts w:ascii="Times New Roman" w:hAnsi="Times New Roman" w:cs="Times New Roman"/>
          <w:sz w:val="24"/>
          <w:szCs w:val="24"/>
          <w:lang w:val="en-US"/>
        </w:rPr>
        <w:lastRenderedPageBreak/>
        <w:t>successful plans for biodiversity conservation and sustainable land management.</w:t>
      </w: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524445" w:rsidRDefault="00524445">
      <w:pP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br w:type="page"/>
      </w:r>
    </w:p>
    <w:p w:rsidR="00FA4F8B" w:rsidRPr="00C51A45" w:rsidRDefault="00FA4F8B" w:rsidP="00524445">
      <w:pPr>
        <w:pStyle w:val="Titolo1"/>
        <w:rPr>
          <w:lang w:val="en-US"/>
        </w:rPr>
      </w:pPr>
      <w:bookmarkStart w:id="27" w:name="_Toc151759465"/>
      <w:r w:rsidRPr="00C51A45">
        <w:rPr>
          <w:lang w:val="en-US"/>
        </w:rPr>
        <w:lastRenderedPageBreak/>
        <w:t>Unveiling Global Initiatives: A Comprehensive Exploration of Technology and Practices for Sustainable Land Management</w:t>
      </w:r>
      <w:bookmarkEnd w:id="27"/>
    </w:p>
    <w:p w:rsidR="00524445" w:rsidRDefault="00524445" w:rsidP="00C51A45">
      <w:pPr>
        <w:jc w:val="both"/>
        <w:rPr>
          <w:rFonts w:ascii="Times New Roman" w:hAnsi="Times New Roman" w:cs="Times New Roman"/>
          <w:b/>
          <w:sz w:val="24"/>
          <w:szCs w:val="24"/>
          <w:lang w:val="en-US"/>
        </w:rPr>
      </w:pP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First Case Study: Promoting Global Forest Biodiversity Conservation with Creative Reforestation Techniques: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We take a deep dive into the worldwide landscape of sustainable land management and reveal a wide range of creative approaches used in afforestation projects in various locations. Apart from the traditional models of planting trees, countries all over the world demonstrate a dedication to researching and applying a variety of afforestation methods. This in-depth case study carefully examines the complex strategies used around the world, illuminating the ways in which technological advancements broadly support biodiversity conservation. The study highlights how crucial afforestation is to meeting SDG 15.1 targets on a national and worldwide level, from the deliberate introduction of a variety of native species to the careful use of precision planting techniques.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 xml:space="preserve">Leveraging Astute Monitoring Devices: </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The incorporation of intelligent monitoring technologies has become a fundamental aspect, propelling biodiversity conservation efforts to unprecedented heights on a worldwide level. This case study examines in detail how contemporary systems, which combine state-of-the-art remote sensing technologies, on-the-ground sensor networks, and satellite imaging, deliver real-time biodiversity indicator data. The study explores how important these technologies are to making well-informed decisions about global sustainable forest management practises. In doing so, it highlights the widespread integration of technology as an essential and universal component in accomplishing SDG 15.1's overall goals.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Case Study 2: Precision Agriculture Implementation through Global Agricultural Practise Advancements: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As a crucial component of their commitment to SDG 15.1, countries all over the world are not just embracing precision agriculture technologies, but also setting the pace for their adoption. This comprehensive case study reveals how the prudent use of drones, cutting-edge GPS technology, and sophisticated data analytics is optimizing agricultural yields, minimizing resource consumption, and mitigating environmental impact on a global scale. It acknowledges the critical role that agriculture plays in influencing land use patterns. Resolving the conflict </w:t>
      </w:r>
      <w:r w:rsidRPr="00C51A45">
        <w:rPr>
          <w:rFonts w:ascii="Times New Roman" w:hAnsi="Times New Roman" w:cs="Times New Roman"/>
          <w:sz w:val="24"/>
          <w:szCs w:val="24"/>
          <w:lang w:val="en-US"/>
        </w:rPr>
        <w:lastRenderedPageBreak/>
        <w:t>between the need to feed growing populations and the primary objective of protecting ecosystems, the study offers significant new understandings into the revolutionary potential of sustainable farming practises in accomplishing the diverse aims of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 xml:space="preserve">Encouraging Agroecological Methods: </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In addition to technology advancements, nations all over the world are promoting and developing agroecological strategies that work in perfect harmony with the natural environment. This case study adopts an international perspective on initiatives to promote biodiversity in agricultural settings around the world. The role of a wide range of techniques in promoting locally sourced foods and strengthening resilience is investigated, from the thoughtful application of polyculture systems to the encouragement of such practises. The study highlights the beneficial relationship between agriculture and biodiversity conservation and provides a thorough knowledge of the dynamic worldwide progress made towards the SDG 15.1 targets.</w:t>
      </w: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Assessing Environmental Effects in Light of SDG 15.1 </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Achieving SDG 15.1: Global Biodiversity Assessment using Comprehensive Metrics and Indicators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The importance of completing thorough environmental impact assessments is paramount in the ambitious global pursuit of Sustainable Development Goal 15.1 (SDG 15.1). This section delves further into the complex process of creating and using metrics and indicators for biodiversity assessment in a strategic manner. The study reveals the complex approaches used in various countries, each battling its own ecosystems and difficulties. This analysis clarifies the essential elements of sustainable land management strategies, including species richness, habitat variety, and ecosystem resilience. By means of this thorough analysis, we are able to acquire a deep understanding of the cooperative global initiatives that are intended to help us negotiate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Strategic Biodiversity Assessment: A Global Imperative: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At the core of the discussion lies the imperative of conducting thorough environmental impact assessments to propel the global community toward the attainment of SDG 15.1. This segment elucidates the strategic and systematic approaches employed by nations worldwide to assess and enhance biodiversity.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Diverse National Approaches: Navigating Unique Ecosystems: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With nations boasting distinct ecosystems and facing varied challenges, the study meticulously dissects the diverse approaches employed in biodiversity assessment. Each nation's unique strategies and methodologies contribute to the collective understanding of sustainable land management, reflecting the multifaceted nature of the global pursuit of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Species Richness: Unraveling Biodiversity Complexity: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 closer examination of the assessment metrics reveals a dedicated focus on species richness, a fundamental component in understanding the complexity of biodiversity. This subsection delves into how nations measure and interpret species richness, unraveling its implications for achieving SDG 15.1 targets on a global scale.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Habitat Diversity: Balancing Ecosystem Health:</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study intricately explores the measurement and evaluation of habitat diversity, recognizing its pivotal role in maintaining ecosystem health. As nations grapple with the challenges posed by varying landscapes, the strategic assessment of habitat diversity emerges as a critical element in the collective journey toward sustainable land management.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lastRenderedPageBreak/>
        <w:t>Ecosystem Resilience: A Pillar of Global Conservation: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Ecosystem resilience takes center stage as a key indicator in the comprehensive assessment toolkit. This segment unveils how nations strategically evaluate and enhance ecosystem resilience, recognizing it as a foundational pillar in the overarching mission to meet the demanding objectives of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Coordinated International Efforts: Addressing Global Challenges: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exploration concludes by highlighting the intricacies of coordinated international efforts. Nations collaboratively navigate the multifaceted landscape of sustainable land management, pooling their insights and experiences to address the global challenges posed by biodiversity loss. This section underscores the collective commitment to SDG 15.1, fostering a deeper understanding of the collaborative initiatives shaping the future of global biodiversity conservation.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In essence, this comprehensive examination serves as a compass, guiding the global community toward the effective measurement, evaluation, and enhancement of biodiversity as an integral part of the journey to achieve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lastRenderedPageBreak/>
        <w:t xml:space="preserve">Collaboration and Stakeholder Engagement: </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Working with stakeholders from a variety of sectors requires active collaboration as we navigate the complex route towards sustainable land management on a global scale. In pursuing SDG 15.1, this section reveals the global emphasis on cooperative efforts involving businesses, environmental organizations, and local communities. The study sheds light on the interrelated and collaborative effort towards the global preservation of biodiversity by carefully examining and analyzing the many ways in which these partnerships improve the accuracy of impact assessments, encourage community engagement, and create a shared sense of accountability. In addition to reflecting a shared duty, this cooperative approach shows how interdependent nations are in maintaining the fragile balance of the planet's ecosystems.We examine the finer points of each case study, removing the layers to uncover the complex subtleties that not only make these programs ground-breaking but also essential to the larger story of sustainable land management around the world.</w:t>
      </w:r>
    </w:p>
    <w:p w:rsidR="00FA4F8B" w:rsidRPr="00C51A45" w:rsidRDefault="00FA4F8B" w:rsidP="00C51A45">
      <w:pPr>
        <w:jc w:val="both"/>
        <w:rPr>
          <w:rFonts w:ascii="Times New Roman" w:hAnsi="Times New Roman" w:cs="Times New Roman"/>
          <w:b/>
          <w:sz w:val="24"/>
          <w:szCs w:val="24"/>
          <w:u w:val="single"/>
          <w:lang w:val="en-US"/>
        </w:rPr>
      </w:pPr>
    </w:p>
    <w:p w:rsidR="00524445" w:rsidRDefault="00524445">
      <w:pP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br w:type="page"/>
      </w:r>
    </w:p>
    <w:p w:rsidR="00FA4F8B" w:rsidRPr="00C51A45" w:rsidRDefault="00FA4F8B" w:rsidP="00524445">
      <w:pPr>
        <w:pStyle w:val="Titolo1"/>
        <w:rPr>
          <w:lang w:val="en-US"/>
        </w:rPr>
      </w:pPr>
      <w:bookmarkStart w:id="28" w:name="_Toc151759466"/>
      <w:r w:rsidRPr="00C51A45">
        <w:rPr>
          <w:lang w:val="en-US"/>
        </w:rPr>
        <w:lastRenderedPageBreak/>
        <w:t>Regulatory and Policy Aspects</w:t>
      </w:r>
      <w:bookmarkEnd w:id="28"/>
    </w:p>
    <w:p w:rsidR="009B0DF9" w:rsidRDefault="009B0DF9"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Promoting Biodiversity via Municipal Laws: Strengthening Community-Led Conservation Projects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keystone of Japan's steadfast dedication to biodiversity protection is the complex web of regional legislation that enables local communities to take the initiative in preserving their natural heritage. This section explores the crucial role that these laws play in promoting community-based conservation efforts and reveals the ways in which local government contributes to biodiversity preservation.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Local Empowerment: Initiatives for Community-Based Conservation: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Community-based conservation programs that are executed locally form the backbone of Japan's strategy to conserve its biodiversity. This investigation explores the manner in which local laws serve as triggers, enabling communities to take initiative in the preservation of biodiversity.These case studies highlight the various ways that municipal laws enable community engagement in support of SDG 15.1, from the application of zoning regulations protecting important ecosystems to </w:t>
      </w:r>
      <w:r w:rsidRPr="00C51A45">
        <w:rPr>
          <w:rFonts w:ascii="Times New Roman" w:hAnsi="Times New Roman" w:cs="Times New Roman"/>
          <w:sz w:val="24"/>
          <w:szCs w:val="24"/>
          <w:lang w:val="en-US"/>
        </w:rPr>
        <w:lastRenderedPageBreak/>
        <w:t>community-led projects promoting sustainable land management.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Zoning laws: protecting important ecosystems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This section's case studies highlight the critical role that zoning regulations play in protecting Japan's vital ecosystems. By defining regions of ecological significance and emphasizing the value of protecting these habitats, zoning rules serve as protectors. We dissect how these laws strengthen the commitment to SDG 15.1, offering important insights for scalable models in other regions through practical examples.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Sustainable Land Management Driven by the Community: Global Impact Models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importance of community-led initiatives in sustainable land management is emphasized in this section. Local laws serve as facilitators, encouraging a sense of community ownership and accountability for biodiversity preservation. These case studies provide concrete instances of effective programs, showcasing models that can be expanded globally to meet the challenging goals of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Urban Planning Techniques: Juggling Development and Preservation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Local regulations are essential to striking the delicate balance between development and environmental protection in the face of growing urbanization. This section of the text examines creative methods of urban planning that are used in Japanese cities.In the framework of SDG 15.1, municipal policies are examined as essential elements in Japan's response to the issues presented by urbanization, ranging from the integration of wildlife corridors to the creation of green spaces and sustainable infrastructure.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Greening Cities: Urban Environments with Biodiversity: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To maintain biodiversity, urban environments with their high development pressures require intelligent urban planning. This section explores how biodiversity measures are imaginatively integrated into urban landscapes through municipal legislation. Through analyzing Japan's creative solutions to urban problems, we reveal how local laws support biodiversity conservation despite the high rate of urbanization that characterizes contemporary cities.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Teachings for International Urban Development: Understanding Japan's Method:</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examination concludes by extracting valuable lessons from Japan's approach to urban planning underpinned by </w:t>
      </w:r>
      <w:r w:rsidRPr="00C51A45">
        <w:rPr>
          <w:rFonts w:ascii="Times New Roman" w:hAnsi="Times New Roman" w:cs="Times New Roman"/>
          <w:sz w:val="24"/>
          <w:szCs w:val="24"/>
          <w:lang w:val="en-US"/>
        </w:rPr>
        <w:lastRenderedPageBreak/>
        <w:t>local laws. These insights offer a blueprint for global urban development, showcasing how municipalities can play a pivotal role in fostering biodiversity while addressing the specific challenges associated with urbanization in alignment with SDG 15.1.</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In essence, this comprehensive exploration underscores the indispensable role of municipal laws as dynamic tools for empowering communities and steering urban development toward harmonious coexistence with nature, thereby contributing significantly to the global pursuit of SDG 15.1.</w:t>
      </w: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National Land Use and Sustainability Policies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Policies for Forest Management and Conservation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Japan has developed extensive national regulations for sustainable land use, with a particular emphasis on the preservation and management of its forests. We examine the legislative framework guiding Japan's efforts to preserve the delicate balance between economic activity and the preservation of natural landscapes, from laws governing forestry practises to incentives for individual landowners to engage in conservation.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Policies Regarding Agriculture and Biodiversity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A crucial part of sustainable land use is also played by national agricultural policies. The way that Japan incorporates biodiversity conservation into its agricultural policies is examined in this section. We examine Japan's all-encompassing strategy for aligning agricultural practises with SDG 15.1, which ranges from financial incentives for agroecological farming to policies encouraging the sustainable use of water resources in farming.</w:t>
      </w: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International Partnerships and Accords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Agreements, Both Bilateral and Multilateral</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Acknowledging the worldwide scope of biodiversity, Japan actively participates in international agreements and collaborations. This section of the chapter examines the bilateral and multinational alliances Japan has established to strengthen its conservation efforts for biodiversity. We show how these partnerships, which range from collaborative research projects to knowledge exchange programs, help Japan better comprehend cutting-edge methods and best practises that support SDG 15.1's overarching goals.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Adherence to International Conventions on Environmental</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Japan is dedicated to sustainable land use, which includes adhering to global environmental agreements. This section explores Japan's policy compliance with international accords, including the Aichi Biodiversity Targets and the Convention on Biological Diversity (CBD). Through an examination of the policy frameworks and legislative modifications, we evaluate Japan's posture as a conscientious global player pursuing SDG 15.1.</w:t>
      </w: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Initiatives and Programs of the Government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Conservation Funding Sources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implementation of government initiatives and plans is essential to reaching SDG 15.1. This section of the chapter examines the financing sources that the Japanese government set up to aid in the preservation of biodiversity. We look at how financial incentives motivate different stakeholders to actively support the country's SDG 15.1 targets, from grants for community-led conservation projects to subsidies for sustainable land management techniques.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Initiatives for Research and Development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Sustainable land use depends heavily on innovation, and government-led R&amp;D programs are essential for fostering innovation. This section looks into the R&amp;D programs that </w:t>
      </w:r>
      <w:r w:rsidRPr="00C51A45">
        <w:rPr>
          <w:rFonts w:ascii="Times New Roman" w:hAnsi="Times New Roman" w:cs="Times New Roman"/>
          <w:sz w:val="24"/>
          <w:szCs w:val="24"/>
          <w:lang w:val="en-US"/>
        </w:rPr>
        <w:lastRenderedPageBreak/>
        <w:t>Japan funds in order to create innovative technologies and procedures. By analyzing government-sponsored research projects, we gain insights into the potential integration of innovative solutions, such as the yet-to-be-implemented MBGC, in Japan's sustainable land management strategies.</w:t>
      </w: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524445">
      <w:pPr>
        <w:pStyle w:val="Titolo1"/>
        <w:rPr>
          <w:lang w:val="en-US"/>
        </w:rPr>
      </w:pPr>
      <w:bookmarkStart w:id="29" w:name="_Toc151759467"/>
      <w:r w:rsidRPr="00C51A45">
        <w:rPr>
          <w:lang w:val="en-US"/>
        </w:rPr>
        <w:lastRenderedPageBreak/>
        <w:t>Challenges, Research Gaps, and Benefits</w:t>
      </w:r>
      <w:bookmarkEnd w:id="29"/>
    </w:p>
    <w:p w:rsidR="00524445" w:rsidRDefault="00524445" w:rsidP="00C51A45">
      <w:pPr>
        <w:jc w:val="both"/>
        <w:rPr>
          <w:rFonts w:ascii="Times New Roman" w:hAnsi="Times New Roman" w:cs="Times New Roman"/>
          <w:b/>
          <w:sz w:val="24"/>
          <w:szCs w:val="24"/>
          <w:lang w:val="en-US"/>
        </w:rPr>
      </w:pPr>
    </w:p>
    <w:p w:rsidR="00FA4F8B" w:rsidRPr="00C51A45" w:rsidRDefault="00FA4F8B" w:rsidP="00524445">
      <w:pPr>
        <w:pStyle w:val="Titolo1"/>
        <w:rPr>
          <w:lang w:val="en-US"/>
        </w:rPr>
      </w:pPr>
      <w:bookmarkStart w:id="30" w:name="_Toc151759468"/>
      <w:r w:rsidRPr="00C51A45">
        <w:rPr>
          <w:lang w:val="en-US"/>
        </w:rPr>
        <w:t>Technological Frontiers: Pioneering the Future of Biodiversity Conservation</w:t>
      </w:r>
      <w:bookmarkEnd w:id="30"/>
    </w:p>
    <w:p w:rsidR="00524445" w:rsidRDefault="00524445" w:rsidP="00C51A45">
      <w:pPr>
        <w:jc w:val="both"/>
        <w:rPr>
          <w:rFonts w:ascii="Times New Roman" w:hAnsi="Times New Roman" w:cs="Times New Roman"/>
          <w:b/>
          <w:sz w:val="24"/>
          <w:szCs w:val="24"/>
          <w:lang w:val="en-US"/>
        </w:rPr>
      </w:pP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Unleashing Innovation: The Vital Role of the Mini Bio Gas Continuous (MBGC) in Advancing Biodiversity Conservation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sz w:val="24"/>
          <w:szCs w:val="24"/>
          <w:lang w:val="en-US"/>
        </w:rPr>
        <w:t>The trajectory of biodiversity protection is significantly shaped by technological advancements, and the Mini Bio Gas Continuous (MBGC), a revolutionary invention at the forefront of this evolution, holds immense promise despite its current non-utilization. This segment explores how Japan's proactive pursuit of Sustainable Development Goal 15.1 (SDG 15.1) may be impacted by the MBGC. Insights drawn from expert interviews and cutting-edge studies provide a glimpse into the anticipated outcomes of MBGC integration, highlighting its profound influence on biodiversity preservation in Japan.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Pioneering the Future of Biodiversity Protection: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In the dynamic landscape of biodiversity conservation, the MBGC emerges as a beacon of innovation. This section </w:t>
      </w:r>
      <w:r w:rsidRPr="00C51A45">
        <w:rPr>
          <w:rFonts w:ascii="Times New Roman" w:hAnsi="Times New Roman" w:cs="Times New Roman"/>
          <w:sz w:val="24"/>
          <w:szCs w:val="24"/>
          <w:lang w:val="en-US"/>
        </w:rPr>
        <w:lastRenderedPageBreak/>
        <w:t>aims to shed light on the transformative potential of the MBGC and its upcoming role in Japan's quest for Sustainable Development Goal 15.1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Selective Extraction: Redefining Waste Management Strategies: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Central to the MBGC's efficacy is its unique capability for selective extraction, marking a paradigm shift in waste management strategies. This subsection delves into the intricacies of how the MBGC's selective extraction abilities can revolutionize Japan's waste management approach, reducing ecological footprints and aligning seamlessly with the tenets of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Resource Efficiency: Shaping Sustainable Land Management: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 cornerstone of the MBGC's significance lies in its unwavering commitment to resource efficiency. This part of the exploration unveils how the MBGC, through resource-efficient practices, not only addresses waste-related challenges but also propels Japan towards a more sustainable and ecologically responsible model of land management.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Sustainable Land Management: Nurturing Japan's Natural Heritage: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The potential of the MBGC in sustainable land management is dissected, shedding light on how this technological marvel can become an instrumental force in protecting Japan's rich natural heritage. Insights derived from specialist interviews and comprehensive reviews of state-of-the-art studies provide a holistic understanding of the expected consequences and transformative impacts on biodiversity preservation.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Expert Interviews and State-of-the-Art Studies: Anticipating Future Scenarios: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This subsection delves into the invaluable insights obtained through interviews with specialists and reviews of state-of-the-art studies. These expert perspectives offer a nuanced understanding of the expected consequences of MBGC adoption and its far-reaching influence on biodiversity preservation in Japan. By blending the theoretical with the practical, we unravel the anticipated future scenarios in the realm of conservation.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In essence, this exploration paints a vivid picture of how the MBGC, at the intersection of innovation and environmental stewardship, stands poised to shape the future of biodiversity conservation in Japan and beyond.</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Capabilities for Selective Extraction: Transforming Waste Management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The groundbreaking capability of the MBGC to extract organic matrices selectively has significant ramifications for waste management within the framework of biodiversity protection. Through effective targeting of particular organic components, the technique reduces the ecological footprint associated with traditional trash disposal procedures, hence minimizing environmental impact. This targeted strategy is in line with SDG 15.1 and provides a sustainable way to handle trash while protecting freshwater and terrestrial ecosystems.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Resource Efficiency: Promoting Ecological Behaviours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Because the MBGC prioritizes resource efficiency, it is a leader in sustainable land management techniques. The technique not only solves garbage-related issues but also uses renewable energy by turning organic waste into bio-gas. Because of its dual purpose, the MBGC is positioned as a resource-efficient option that supports sustainable energy practices and biodiversity conservation. It is predicted that the adoption of such resource-efficient technology will revolutionize Japan's efforts to achieve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Cutting-Edge Research and Expert Insights: Projecting Impact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Expert interviews and assessments of state-of-the-art research provide insight into the expected effects of MBGC. AI and remote sensing become useful allies in accomplishing SDG 15.1 goals by revealing opportunities for conservation, spotting dangers, and offering insights into trends.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Examining Enormous Datasets: Knowledge-Based Decision Making</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When combined with AI, remote sensing gives conservationists the capacity to examine enormous datasets, providing a thorough grasp of ecological conditions. This analytical skill makes it easier to make well-informed decisions, allowing for the proactive implementation of solutions to new problems and the optimization of conservation possibilities. The incorporation of these technologies becomes a strategic necessity as Japan moves closer to achieving SDG 15.1, as it will increase the efficacy of biodiversity conservation efforts.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Early Warning Systems for Ecosystem Change Detection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Effective early warning systems for changes in ecosystems are established through the merging of AI with remote sensing. These tools provide prompt responses to </w:t>
      </w:r>
      <w:r w:rsidRPr="00C51A45">
        <w:rPr>
          <w:rFonts w:ascii="Times New Roman" w:hAnsi="Times New Roman" w:cs="Times New Roman"/>
          <w:sz w:val="24"/>
          <w:szCs w:val="24"/>
          <w:lang w:val="en-US"/>
        </w:rPr>
        <w:lastRenderedPageBreak/>
        <w:t>emerging risks by detecting changes in vegetation, land use, and biodiversity patterns. Remote sensing and artificial intelligence (AI) are becoming essential tools for Japan to protect its natural landscapes and reduce the factors causing biodiversity loss, from habitat degradation to the effects of climate change.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Research Initiatives and Possible Uses: An Overview of the Future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This section examines current research initiatives and possible uses of AI and remote sensing for biodiversity preservation. These technologies offer a variety of uses that are in line with SDG 15.1, from tracking endangered animals to evaluating the effects of changing land use. Japan's biodiversity conservation efforts will be greatly aided in the future by the marriage of cutting-edge technology, as demonstrated by the cooperative efforts of researchers and conservation practitioners.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In conclusion, an innovative future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convergence of advances like AI, remote sensing, and the MBGC offers a bright future for biodiversity conservation in Japan as technology frontiers continue to evolve. The expected influence of these technologies, in conjunction with the country's dedication to SDG 15.1, highlights a story in which innovation serves as the </w:t>
      </w:r>
      <w:r w:rsidRPr="00C51A45">
        <w:rPr>
          <w:rFonts w:ascii="Times New Roman" w:hAnsi="Times New Roman" w:cs="Times New Roman"/>
          <w:sz w:val="24"/>
          <w:szCs w:val="24"/>
          <w:lang w:val="en-US"/>
        </w:rPr>
        <w:lastRenderedPageBreak/>
        <w:t>foundation for sustainable practices. Japan is setting the pace for a future in which technological innovation and environmental stewardship live together to define the landscape of biodiversity conservation through its study of these technical frontiers.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Handling Complicated Situations: Overcoming Obstacles and Finding Solutions for Sustainable Land Management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Juggling Conservation with Urbanization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Japan's Urbanization Challenges: A Precarious Balance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sz w:val="24"/>
          <w:szCs w:val="24"/>
          <w:lang w:val="en-US"/>
        </w:rPr>
        <w:t>The rapid urbanization of Japan poses a critical challenge in the pursuit of Sustainable Development Goal 15.1 (SDG 15.1), requiring a delicate balancing act between growth and conservation. This section delves into the challenges of sustainable land management in urban settings, examining the complicated interplay between infrastructural requirements, biodiversity protection imperatives, and zoning issues. Japan grapples with the necessity to balance urban growth with the preservation of its natural heritage as its cities expand and change.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Handling Zoning Issues: Managing Urban Dynamics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A common consequence of urban growth is zoning conflicts, which present a significant obstacle to effective land management. This subsection looks at Japan's approach to conflicts across specified land use categories, which arise when urban development may intrude into areas that are environmentally sensitive. The story reveals the tactics used to resolve these disputes and ensure that urbanization proceeds in a way that reduces negative effects on biodiversity.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Infrastructure Requirements: Coexistence Innovations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Japan faces the difficulty of coming up with creative solutions that satisfy human requirements while also maintaining ecological preservation as infrastructure demands rise in parallel with urbanization. We examine how the country manages the complex terrain of infrastructure development, looking for strategies that promote harmony. This section reveals initiatives that are in line with SDG 15.1, envisioning a future in which urban landscapes harmonize with nature. These strategies range from green infrastructure projects to breakthroughs in urban design.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Integration of Industry and the Circular Economy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Economic and Logistical Barriers to Industrial Integration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Practical and financial challenges emerge when incorporating sustainable land management into industrial processes, calling for thoughtful solutions. In this section, we examine the difficulties that come with industrial activity and Japan's solutions. As the story progresses, it becomes clear how the country promotes industrial growth while reducing its environmental impact, consistent with the larger ideas of a circular economy.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Examining Industrial Challenges: Policies and Case Studies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This segment examines the unique obstacles that industrial operations present to sustainable land management, based on case studies and policy frameworks. We examine Japan's complex answers to several issues, such as the effect of manufacturing processes on nearby ecosystems and the requirement for responsible waste disposal in industrial zones. The analysis offers valuable perspectives on the tactics that support economic expansion in a circular economy context, in line with the overall objectives of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Encouraging the Principles of the Circular Economy: A Route to Sustainable Growth</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This section explores Japan's approaches to integrating circular economy principles into industrial environments. </w:t>
      </w:r>
      <w:r w:rsidRPr="00C51A45">
        <w:rPr>
          <w:rFonts w:ascii="Times New Roman" w:hAnsi="Times New Roman" w:cs="Times New Roman"/>
          <w:sz w:val="24"/>
          <w:szCs w:val="24"/>
          <w:lang w:val="en-US"/>
        </w:rPr>
        <w:lastRenderedPageBreak/>
        <w:t>The nation aims to establish a mutually beneficial relationship between industry and the environment by adopting strategies including recycling, resource efficiency, and sustainable production. This strategy highlights alignment with SDG 15.1 goals by guaranteeing that economic activity adheres to sustainability principles in addition to growth.</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In conclusion, a future in harmony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As the story progresses, Japan's efforts to address implementation issues with sustainable land management prove its dedication to SDG 15.1. With a goal of achieving harmony in the future, the country navigates difficult landscapes, from the complexities of urbanization to the needs of industrial integration. Japan's commitment to striking a careful balance between growth and conservation is demonstrated by its search for novel solutions, paving the way for a robust and sustainable future for its land and wildlife.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Social Fabric: Unveiling Social and Community Impacts of SDG 15.1 Practices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Engagement and Empowerment of the Community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Community Empowerment: The Cornerstone of Sustainable Land Management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sz w:val="24"/>
          <w:szCs w:val="24"/>
          <w:lang w:val="en-US"/>
        </w:rPr>
        <w:lastRenderedPageBreak/>
        <w:t>The adoption of SDG 15.1, or sustainable development goals, extends well beyond environmental limits and becomes ingrained in the local communities' social fabric. This section reveals the beneficial social effects of sustainable land management programs, emphasizing community empowerment and engagement. We explore situations where the application of SDG 15.1 practices becomes a catalyst for developing a strong sense of environmental stewardship and communal responsibility through in-depth interviews with community leaders and insightful case studies.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Participation in the Community: A Mutual Commitment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Sustainable land management practices are centered on community interaction. Local communities actively participate in the preservation of their natural environments as Japan adopts the concepts of SDG 15.1. This subsection examines the ways in which community-driven conservation projects and inclusive decision-making procedures enable people to take on the role of environmental stewards. As the story progresses, it shows how relationships between ecosystems and communities can become stronger and foster a common commitment to sustainable practices.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lastRenderedPageBreak/>
        <w:t>Empowerment via Execution: Achieving Shared Effects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Communities that actively participate in the implementation of SDG 15.1 practices experience a tangible impact of empowerment. Japan sees a profound knock-on effect from incorporating community members in decision-making, knowledge exchange, and practical conservation initiatives. The section highlights how local communities' empowerment translates into tangible and significant contributions to biodiversity preservation, going beyond rhetoric. The story looks at how people may become the builders of positive change in their communities, from tree-planting campaigns to the creation of conservation areas run by the community.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Taking Cultural Aspects Into Account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The Role of Culture in Sustainable Land Management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effectiveness of sustainable land management techniques is significantly influenced by cultural viewpoints. This section explores Japan's approach to SDG 15.1 and how it negotiates the complex terrain of cultural issues. The chapter examines attitudes, customs, and cooperative projects within the community to evaluate how local cultures are affected by efforts to conserve biodiversity. The story explores the tactics used to </w:t>
      </w:r>
      <w:r w:rsidRPr="00C51A45">
        <w:rPr>
          <w:rFonts w:ascii="Times New Roman" w:hAnsi="Times New Roman" w:cs="Times New Roman"/>
          <w:sz w:val="24"/>
          <w:szCs w:val="24"/>
          <w:lang w:val="en-US"/>
        </w:rPr>
        <w:lastRenderedPageBreak/>
        <w:t>reconcile firmly held traditional values with international conservation goals.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Community Attitudes: Uniting Culture and Conservation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Achieving harmony between cultural practices and biodiversity conservation requires an understanding of community perspectives. This subsection examines Japan's nuanced strategy and highlights situations in which community values and SDG 15.1 goals are harmoniously aligned. Conservation programs become more inclusive and resonate with community values when they respect and integrate cultural perspectives. The story progresses, showing how cultural harmony turns into a crucial component of effective and long-term land management techniques.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Joint Ventures: Closing the Distance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In order to close the gap between local cultural values and global conservation goals, collaborative actions become essential. Japan balances progress and tradition by encouraging collaborations amongst local communities, conservation organizations, and cultural guardians. This section looks at case studies where cooperative efforts result in the creation of conservation techniques that are sensitive to cultural differences. This makes sure that the </w:t>
      </w:r>
      <w:r w:rsidRPr="00C51A45">
        <w:rPr>
          <w:rFonts w:ascii="Times New Roman" w:hAnsi="Times New Roman" w:cs="Times New Roman"/>
          <w:sz w:val="24"/>
          <w:szCs w:val="24"/>
          <w:lang w:val="en-US"/>
        </w:rPr>
        <w:lastRenderedPageBreak/>
        <w:t>implementation of SDG 15.1 is seen as a collaborative process that respects and maintains cultural heritage rather than as an imposition.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Concluding Remarks: Fostering Social and Cultural Cohesion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As we come to the end of this thoughtful investigation of the social and collective effects resulting from the adoption of SDG 15.1 practices, Japan's story becomes clearer, revealing a harmonious and diverse mosaic entwined with social and cultural elements. The nation is notable for serving as a real-world illustration of an inclusive, comprehensive approach to sustainable land management, where different elements contribute to a dynamic, linked whole.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Empowerment of the Community and Shared Responsibility: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fascinating tale of community involvement, which champions the ideas of shared responsibility, is at the core of Japan's narrative. Local communities and the environment are carefully cultivated in a symbiotic relationship that promotes a sense of ownership and active engagement in the conservation efforts required by SDG 15.1. This chapter has illuminated the ways in which Japan's communities become the custodians of their </w:t>
      </w:r>
      <w:r w:rsidRPr="00C51A45">
        <w:rPr>
          <w:rFonts w:ascii="Times New Roman" w:hAnsi="Times New Roman" w:cs="Times New Roman"/>
          <w:sz w:val="24"/>
          <w:szCs w:val="24"/>
          <w:lang w:val="en-US"/>
        </w:rPr>
        <w:lastRenderedPageBreak/>
        <w:t>ecological heritage, contributing significantly to the overarching goal of sustainable land management.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Crucial Components: Cultural Heritage and Community Empowerment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chapter concludes by emphasizing how important it is for communities to be empowered and for cultural heritage to be preserved in Japan's vision for a sustainable future. These components are viewed as essential parts of the ecological resilience story rather than as incidental. The investigation's depiction of Japan's story captures a vision in which the fusion of cultural values and community involvement serves as the cornerstone for creating an ecological legacy that is both robust and sustainable.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Overall, this chapter leaves the reader with a deep appreciation for Japan's integrated and holistic approach to sustainable land management—an approach that imagines a time when community well-being, cultural heritage preservation, and ecological sustainability will harmoniously come together to create a model that the world will be proud of.</w:t>
      </w: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FA4F8B" w:rsidRPr="00FA4F8B" w:rsidRDefault="00FA4F8B" w:rsidP="00FA4F8B">
      <w:pPr>
        <w:rPr>
          <w:rFonts w:ascii="Times New Roman" w:hAnsi="Times New Roman" w:cs="Times New Roman"/>
          <w:sz w:val="24"/>
          <w:szCs w:val="24"/>
          <w:lang w:val="en-US"/>
        </w:rPr>
      </w:pPr>
    </w:p>
    <w:p w:rsidR="00FA4F8B" w:rsidRPr="00FA4F8B" w:rsidRDefault="00FA4F8B" w:rsidP="00FA4F8B">
      <w:pPr>
        <w:rPr>
          <w:rFonts w:ascii="Times New Roman" w:hAnsi="Times New Roman" w:cs="Times New Roman"/>
          <w:sz w:val="24"/>
          <w:szCs w:val="24"/>
          <w:lang w:val="en-US"/>
        </w:rPr>
      </w:pPr>
    </w:p>
    <w:p w:rsidR="00FA4F8B" w:rsidRPr="00FA4F8B" w:rsidRDefault="00FA4F8B" w:rsidP="00FA4F8B">
      <w:pPr>
        <w:rPr>
          <w:rFonts w:ascii="Times New Roman" w:hAnsi="Times New Roman" w:cs="Times New Roman"/>
          <w:sz w:val="24"/>
          <w:szCs w:val="24"/>
          <w:lang w:val="en-US"/>
        </w:rPr>
      </w:pPr>
    </w:p>
    <w:p w:rsidR="00FA4F8B" w:rsidRPr="00FA4F8B" w:rsidRDefault="00FA4F8B" w:rsidP="00FA4F8B">
      <w:pPr>
        <w:rPr>
          <w:rFonts w:ascii="Times New Roman" w:hAnsi="Times New Roman" w:cs="Times New Roman"/>
          <w:sz w:val="24"/>
          <w:szCs w:val="24"/>
          <w:lang w:val="en-US"/>
        </w:rPr>
      </w:pPr>
    </w:p>
    <w:p w:rsidR="00FA4F8B" w:rsidRPr="00FA4F8B" w:rsidRDefault="00FA4F8B" w:rsidP="00FA4F8B">
      <w:pPr>
        <w:rPr>
          <w:rFonts w:ascii="Times New Roman" w:hAnsi="Times New Roman" w:cs="Times New Roman"/>
          <w:sz w:val="24"/>
          <w:szCs w:val="24"/>
          <w:lang w:val="en-US"/>
        </w:rPr>
      </w:pPr>
    </w:p>
    <w:p w:rsidR="00FA4F8B" w:rsidRPr="00FA4F8B" w:rsidRDefault="00FA4F8B" w:rsidP="00FA4F8B">
      <w:pPr>
        <w:rPr>
          <w:rFonts w:ascii="Times New Roman" w:hAnsi="Times New Roman" w:cs="Times New Roman"/>
          <w:sz w:val="24"/>
          <w:szCs w:val="24"/>
          <w:lang w:val="en-US"/>
        </w:rPr>
      </w:pPr>
    </w:p>
    <w:p w:rsidR="00FA4F8B" w:rsidRPr="00FA4F8B" w:rsidRDefault="00FA4F8B" w:rsidP="00FA4F8B">
      <w:pPr>
        <w:rPr>
          <w:rFonts w:ascii="Times New Roman" w:hAnsi="Times New Roman" w:cs="Times New Roman"/>
          <w:sz w:val="24"/>
          <w:szCs w:val="24"/>
          <w:lang w:val="en-US"/>
        </w:rPr>
      </w:pPr>
    </w:p>
    <w:p w:rsidR="00DA0B4B" w:rsidRPr="00FA4F8B" w:rsidRDefault="00DA0B4B" w:rsidP="00DA0B4B">
      <w:pPr>
        <w:spacing w:line="360" w:lineRule="auto"/>
        <w:jc w:val="both"/>
        <w:rPr>
          <w:rFonts w:ascii="Times New Roman" w:hAnsi="Times New Roman" w:cs="Times New Roman"/>
          <w:sz w:val="24"/>
          <w:szCs w:val="24"/>
          <w:lang w:val="en-US"/>
        </w:rPr>
      </w:pPr>
    </w:p>
    <w:p w:rsidR="00DA0B4B" w:rsidRPr="00FA4F8B" w:rsidRDefault="00DA0B4B" w:rsidP="00DA0B4B">
      <w:pPr>
        <w:spacing w:line="360" w:lineRule="auto"/>
        <w:jc w:val="both"/>
        <w:rPr>
          <w:rFonts w:ascii="Times New Roman" w:hAnsi="Times New Roman" w:cs="Times New Roman"/>
          <w:sz w:val="24"/>
          <w:szCs w:val="24"/>
          <w:lang w:val="en-US"/>
        </w:rPr>
      </w:pPr>
    </w:p>
    <w:p w:rsidR="00C51A45" w:rsidRDefault="00C51A45">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A0B4B" w:rsidRPr="00E40853" w:rsidRDefault="00DA0B4B" w:rsidP="00DA0B4B">
      <w:pPr>
        <w:pStyle w:val="Heading1"/>
        <w:ind w:left="0"/>
        <w:jc w:val="right"/>
        <w:rPr>
          <w:lang w:val="en-US"/>
        </w:rPr>
      </w:pPr>
      <w:bookmarkStart w:id="31" w:name="_Toc151759469"/>
      <w:r w:rsidRPr="00E40853">
        <w:rPr>
          <w:color w:val="FFFF00"/>
          <w:lang w:val="en-US"/>
        </w:rPr>
        <w:lastRenderedPageBreak/>
        <w:t xml:space="preserve">J </w:t>
      </w:r>
      <w:r w:rsidRPr="00E40853">
        <w:rPr>
          <w:color w:val="0000FF"/>
          <w:lang w:val="en-US"/>
        </w:rPr>
        <w:t xml:space="preserve">W </w:t>
      </w:r>
      <w:r w:rsidRPr="00E40853">
        <w:rPr>
          <w:color w:val="007F00"/>
          <w:lang w:val="en-US"/>
        </w:rPr>
        <w:t>T</w:t>
      </w:r>
      <w:bookmarkEnd w:id="31"/>
    </w:p>
    <w:p w:rsidR="00DA0B4B" w:rsidRPr="00E40853" w:rsidRDefault="00FB3048" w:rsidP="00DA0B4B">
      <w:pPr>
        <w:pStyle w:val="Heading3"/>
        <w:ind w:left="0"/>
        <w:jc w:val="right"/>
        <w:rPr>
          <w:b w:val="0"/>
          <w:lang w:val="en-US"/>
        </w:rPr>
      </w:pPr>
      <w:hyperlink r:id="rId8" w:history="1">
        <w:r w:rsidR="00DA0B4B" w:rsidRPr="00E40853">
          <w:rPr>
            <w:rStyle w:val="Enfasigrassetto"/>
            <w:b/>
            <w:iCs w:val="0"/>
            <w:color w:val="0000FF"/>
            <w:u w:val="single"/>
            <w:lang w:val="en-US"/>
          </w:rPr>
          <w:t>joules</w:t>
        </w:r>
      </w:hyperlink>
      <w:r w:rsidR="00DA0B4B" w:rsidRPr="00E40853">
        <w:rPr>
          <w:b w:val="0"/>
          <w:lang w:val="en-US"/>
        </w:rPr>
        <w:t xml:space="preserve"> </w:t>
      </w:r>
      <w:hyperlink r:id="rId9" w:history="1">
        <w:r w:rsidR="00DA0B4B" w:rsidRPr="00E40853">
          <w:rPr>
            <w:rStyle w:val="Enfasigrassetto"/>
            <w:b/>
            <w:iCs w:val="0"/>
            <w:color w:val="0000FF"/>
            <w:u w:val="single"/>
            <w:lang w:val="en-US"/>
          </w:rPr>
          <w:t xml:space="preserve"> </w:t>
        </w:r>
      </w:hyperlink>
      <w:hyperlink r:id="rId10" w:history="1">
        <w:r w:rsidR="00DA0B4B" w:rsidRPr="00E40853">
          <w:rPr>
            <w:rStyle w:val="Enfasigrassetto"/>
            <w:b/>
            <w:iCs w:val="0"/>
            <w:color w:val="0000FF"/>
            <w:u w:val="single"/>
            <w:lang w:val="en-US"/>
          </w:rPr>
          <w:t>water  team</w:t>
        </w:r>
      </w:hyperlink>
    </w:p>
    <w:p w:rsidR="00DA0B4B" w:rsidRPr="00E40853" w:rsidRDefault="00FB3048" w:rsidP="00DA0B4B">
      <w:pPr>
        <w:spacing w:before="1"/>
        <w:jc w:val="right"/>
        <w:rPr>
          <w:rFonts w:ascii="Times New Roman" w:hAnsi="Times New Roman" w:cs="Times New Roman"/>
          <w:sz w:val="24"/>
          <w:szCs w:val="24"/>
          <w:lang w:val="en-US"/>
        </w:rPr>
      </w:pPr>
      <w:hyperlink r:id="rId11" w:history="1">
        <w:r w:rsidR="00DA0B4B" w:rsidRPr="00E40853">
          <w:rPr>
            <w:rStyle w:val="Collegamentoipertestuale"/>
            <w:rFonts w:ascii="Times New Roman" w:hAnsi="Times New Roman" w:cs="Times New Roman"/>
            <w:b/>
            <w:i/>
            <w:sz w:val="24"/>
            <w:szCs w:val="24"/>
            <w:lang w:val="en-US"/>
          </w:rPr>
          <w:t>https://www.jwt-jwt.it/</w:t>
        </w:r>
      </w:hyperlink>
    </w:p>
    <w:p w:rsidR="00DA0B4B" w:rsidRPr="00E40853" w:rsidRDefault="00DA0B4B" w:rsidP="00DA0B4B">
      <w:pPr>
        <w:pStyle w:val="Corpodeltesto"/>
        <w:spacing w:before="2"/>
        <w:rPr>
          <w:b/>
          <w:sz w:val="24"/>
          <w:lang w:val="en-US"/>
        </w:rPr>
      </w:pPr>
    </w:p>
    <w:p w:rsidR="00DA0B4B" w:rsidRDefault="00DA0B4B" w:rsidP="00DA0B4B">
      <w:pPr>
        <w:pStyle w:val="Corpodeltesto"/>
        <w:spacing w:before="2"/>
        <w:rPr>
          <w:b/>
          <w:sz w:val="24"/>
          <w:lang w:val="en-US"/>
        </w:rPr>
      </w:pPr>
      <w:r w:rsidRPr="00E40853">
        <w:rPr>
          <w:b/>
          <w:sz w:val="24"/>
          <w:lang w:val="en-US"/>
        </w:rPr>
        <w:t>Subject to the NDA, consultancy and appropriate industrial property rights are available</w:t>
      </w:r>
      <w:r>
        <w:rPr>
          <w:b/>
          <w:sz w:val="24"/>
          <w:lang w:val="en-US"/>
        </w:rPr>
        <w:t>;</w:t>
      </w:r>
    </w:p>
    <w:p w:rsidR="00DA0B4B" w:rsidRPr="00E40853" w:rsidRDefault="00DA0B4B" w:rsidP="00DA0B4B">
      <w:pPr>
        <w:pStyle w:val="Corpodeltesto"/>
        <w:spacing w:before="2"/>
        <w:rPr>
          <w:b/>
          <w:sz w:val="24"/>
          <w:lang w:val="en-US"/>
        </w:rPr>
      </w:pPr>
    </w:p>
    <w:p w:rsidR="00DA0B4B" w:rsidRPr="00E40853" w:rsidRDefault="00DA0B4B" w:rsidP="00DA0B4B">
      <w:pPr>
        <w:pStyle w:val="Corpodeltesto"/>
        <w:spacing w:before="2"/>
        <w:rPr>
          <w:sz w:val="24"/>
          <w:lang w:val="en-US"/>
        </w:rPr>
      </w:pPr>
    </w:p>
    <w:p w:rsidR="00DA0B4B" w:rsidRPr="00E40853" w:rsidRDefault="00DA0B4B" w:rsidP="00DA0B4B">
      <w:pPr>
        <w:pStyle w:val="Corpodeltesto"/>
        <w:spacing w:before="2"/>
        <w:rPr>
          <w:sz w:val="24"/>
          <w:lang w:val="en-US"/>
        </w:rPr>
      </w:pPr>
      <w:r w:rsidRPr="00E40853">
        <w:rPr>
          <w:sz w:val="24"/>
          <w:lang w:val="en-US"/>
        </w:rPr>
        <w:t xml:space="preserve">( </w:t>
      </w:r>
      <w:hyperlink r:id="rId12" w:history="1">
        <w:r w:rsidRPr="00E40853">
          <w:rPr>
            <w:rStyle w:val="Enfasigrassetto"/>
            <w:sz w:val="24"/>
            <w:lang w:val="en-US"/>
          </w:rPr>
          <w:t xml:space="preserve">INNOVATION </w:t>
        </w:r>
      </w:hyperlink>
      <w:r w:rsidRPr="00E40853">
        <w:rPr>
          <w:rStyle w:val="tlid-translation"/>
          <w:color w:val="0000FF"/>
          <w:sz w:val="24"/>
          <w:lang w:val="en-US"/>
        </w:rPr>
        <w:t xml:space="preserve">- </w:t>
      </w:r>
      <w:hyperlink r:id="rId13" w:history="1">
        <w:r w:rsidRPr="00E40853">
          <w:rPr>
            <w:rStyle w:val="Collegamentoipertestuale"/>
            <w:sz w:val="24"/>
            <w:lang w:val="en-US"/>
          </w:rPr>
          <w:t xml:space="preserve">Patents and Projects, with relevant BPs </w:t>
        </w:r>
      </w:hyperlink>
      <w:hyperlink r:id="rId14" w:history="1">
        <w:r w:rsidRPr="00E40853">
          <w:rPr>
            <w:rStyle w:val="Collegamentoipertestuale"/>
            <w:sz w:val="24"/>
            <w:lang w:val="en-US"/>
          </w:rPr>
          <w:t xml:space="preserve">and </w:t>
        </w:r>
      </w:hyperlink>
      <w:hyperlink r:id="rId15" w:history="1">
        <w:r w:rsidRPr="00E40853">
          <w:rPr>
            <w:rStyle w:val="Collegamentoipertestuale"/>
            <w:sz w:val="24"/>
            <w:lang w:val="en-US"/>
          </w:rPr>
          <w:t>StartKit</w:t>
        </w:r>
      </w:hyperlink>
      <w:hyperlink r:id="rId16" w:history="1">
        <w:r w:rsidRPr="00E40853">
          <w:rPr>
            <w:rStyle w:val="Collegamentoipertestuale"/>
            <w:sz w:val="24"/>
            <w:lang w:val="en-US"/>
          </w:rPr>
          <w:t xml:space="preserve"> </w:t>
        </w:r>
      </w:hyperlink>
      <w:hyperlink r:id="rId17" w:history="1">
        <w:r w:rsidRPr="00E40853">
          <w:rPr>
            <w:rStyle w:val="Collegamentoipertestuale"/>
            <w:sz w:val="24"/>
            <w:lang w:val="en-US"/>
          </w:rPr>
          <w:t xml:space="preserve">Commercial Offers </w:t>
        </w:r>
      </w:hyperlink>
      <w:r w:rsidRPr="00E40853">
        <w:rPr>
          <w:sz w:val="24"/>
          <w:lang w:val="en-US"/>
        </w:rPr>
        <w:t xml:space="preserve"> )</w:t>
      </w:r>
    </w:p>
    <w:p w:rsidR="00DA0B4B" w:rsidRPr="00E40853" w:rsidRDefault="00DA0B4B" w:rsidP="00DA0B4B">
      <w:pPr>
        <w:pStyle w:val="Corpodeltesto"/>
        <w:spacing w:before="2"/>
        <w:rPr>
          <w:sz w:val="24"/>
          <w:lang w:val="en-US"/>
        </w:rPr>
      </w:pPr>
    </w:p>
    <w:p w:rsidR="00DA0B4B" w:rsidRPr="00E40853" w:rsidRDefault="00DA0B4B" w:rsidP="00DA0B4B">
      <w:pPr>
        <w:pStyle w:val="Corpodeltesto"/>
        <w:spacing w:before="2"/>
        <w:rPr>
          <w:rStyle w:val="Enfasigrassetto"/>
          <w:sz w:val="24"/>
          <w:lang w:val="en-US"/>
        </w:rPr>
      </w:pPr>
    </w:p>
    <w:p w:rsidR="00DA0B4B" w:rsidRPr="00E40853" w:rsidRDefault="00DA0B4B" w:rsidP="00DA0B4B">
      <w:pPr>
        <w:pStyle w:val="Corpodeltesto"/>
        <w:spacing w:before="2"/>
        <w:rPr>
          <w:rStyle w:val="Enfasigrassetto"/>
          <w:sz w:val="24"/>
          <w:lang w:val="en-US"/>
        </w:rPr>
      </w:pPr>
      <w:r w:rsidRPr="00E40853">
        <w:rPr>
          <w:rStyle w:val="Enfasigrassetto"/>
          <w:sz w:val="24"/>
          <w:lang w:val="en-US"/>
        </w:rPr>
        <w:t xml:space="preserve">JWTeam </w:t>
      </w:r>
    </w:p>
    <w:p w:rsidR="00DA0B4B" w:rsidRPr="00E40853" w:rsidRDefault="00DA0B4B" w:rsidP="00DA0B4B">
      <w:pPr>
        <w:pStyle w:val="Corpodeltesto"/>
        <w:spacing w:before="2"/>
        <w:rPr>
          <w:rStyle w:val="Enfasigrassetto"/>
          <w:sz w:val="24"/>
          <w:lang w:val="en-US"/>
        </w:rPr>
      </w:pPr>
    </w:p>
    <w:p w:rsidR="00DA0B4B" w:rsidRPr="00E40853" w:rsidRDefault="00FB3048" w:rsidP="00DA0B4B">
      <w:pPr>
        <w:pStyle w:val="Corpodeltesto"/>
        <w:spacing w:before="2"/>
        <w:rPr>
          <w:sz w:val="24"/>
          <w:lang w:val="en-US"/>
        </w:rPr>
      </w:pPr>
      <w:hyperlink r:id="rId18" w:history="1">
        <w:r w:rsidR="00DA0B4B" w:rsidRPr="00E40853">
          <w:rPr>
            <w:rStyle w:val="Collegamentoipertestuale"/>
            <w:sz w:val="24"/>
            <w:lang w:val="en-US"/>
          </w:rPr>
          <w:t>http://www.expotv1.com/ESCP_NUT_Team.pdf</w:t>
        </w:r>
      </w:hyperlink>
    </w:p>
    <w:p w:rsidR="00DA0B4B" w:rsidRPr="005E3357" w:rsidRDefault="00DA0B4B" w:rsidP="00DA0B4B">
      <w:pPr>
        <w:pStyle w:val="Corpodeltesto"/>
        <w:spacing w:before="2"/>
        <w:rPr>
          <w:rStyle w:val="rynqvb"/>
          <w:i/>
          <w:sz w:val="24"/>
          <w:lang w:val="en-US"/>
        </w:rPr>
      </w:pPr>
      <w:r w:rsidRPr="00E40853">
        <w:rPr>
          <w:i/>
          <w:sz w:val="24"/>
          <w:lang w:val="en-US"/>
        </w:rPr>
        <w:t xml:space="preserve">Offers extensive support on </w:t>
      </w:r>
      <w:r w:rsidRPr="00E40853">
        <w:rPr>
          <w:b/>
          <w:i/>
          <w:color w:val="0070C0"/>
          <w:sz w:val="24"/>
          <w:lang w:val="en-US"/>
        </w:rPr>
        <w:t xml:space="preserve">Energy </w:t>
      </w:r>
      <w:r w:rsidRPr="00E40853">
        <w:rPr>
          <w:i/>
          <w:sz w:val="24"/>
          <w:lang w:val="en-US"/>
        </w:rPr>
        <w:t xml:space="preserve">and </w:t>
      </w:r>
      <w:r w:rsidRPr="00E40853">
        <w:rPr>
          <w:b/>
          <w:i/>
          <w:color w:val="0070C0"/>
          <w:sz w:val="24"/>
          <w:lang w:val="en-US"/>
        </w:rPr>
        <w:t xml:space="preserve">Water Cycle, </w:t>
      </w:r>
      <w:r w:rsidRPr="00E40853">
        <w:rPr>
          <w:i/>
          <w:sz w:val="24"/>
          <w:lang w:val="en-US"/>
        </w:rPr>
        <w:t xml:space="preserve">verse  </w:t>
      </w:r>
      <w:hyperlink r:id="rId19" w:history="1">
        <w:r w:rsidRPr="00E40853">
          <w:rPr>
            <w:rStyle w:val="Enfasicorsivo"/>
            <w:b/>
            <w:bCs/>
            <w:color w:val="008000"/>
            <w:sz w:val="24"/>
            <w:u w:val="single"/>
            <w:lang w:val="en-US"/>
          </w:rPr>
          <w:t xml:space="preserve">IP_S </w:t>
        </w:r>
      </w:hyperlink>
      <w:hyperlink r:id="rId20" w:history="1">
        <w:r w:rsidRPr="00E40853">
          <w:rPr>
            <w:rStyle w:val="Enfasicorsivo"/>
            <w:b/>
            <w:bCs/>
            <w:color w:val="008000"/>
            <w:sz w:val="24"/>
            <w:u w:val="single"/>
            <w:lang w:val="en-US"/>
          </w:rPr>
          <w:t xml:space="preserve">DGs </w:t>
        </w:r>
      </w:hyperlink>
      <w:hyperlink r:id="rId21" w:history="1">
        <w:r w:rsidRPr="00E40853">
          <w:rPr>
            <w:rStyle w:val="Enfasicorsivo"/>
            <w:b/>
            <w:bCs/>
            <w:color w:val="008000"/>
            <w:sz w:val="24"/>
            <w:u w:val="single"/>
            <w:lang w:val="en-US"/>
          </w:rPr>
          <w:t>/UN</w:t>
        </w:r>
      </w:hyperlink>
    </w:p>
    <w:p w:rsidR="00DA0B4B" w:rsidRPr="00E40853" w:rsidRDefault="00DA0B4B" w:rsidP="00DA0B4B">
      <w:pPr>
        <w:jc w:val="both"/>
        <w:rPr>
          <w:rStyle w:val="rynqvb"/>
          <w:rFonts w:ascii="Times New Roman" w:hAnsi="Times New Roman" w:cs="Times New Roman"/>
          <w:b/>
          <w:sz w:val="24"/>
          <w:szCs w:val="24"/>
          <w:lang w:val="en-US"/>
        </w:rPr>
      </w:pPr>
    </w:p>
    <w:p w:rsidR="00DA0B4B" w:rsidRPr="00E536DE" w:rsidRDefault="00DA0B4B" w:rsidP="00DA0B4B">
      <w:pPr>
        <w:pStyle w:val="Titolo1"/>
        <w:rPr>
          <w:rStyle w:val="rynqvb"/>
          <w:szCs w:val="24"/>
          <w:lang w:val="en-US"/>
        </w:rPr>
      </w:pPr>
      <w:bookmarkStart w:id="32" w:name="_Toc151759470"/>
      <w:r w:rsidRPr="00E536DE">
        <w:rPr>
          <w:rStyle w:val="rynqvb"/>
          <w:szCs w:val="24"/>
          <w:lang w:val="en-US"/>
        </w:rPr>
        <w:t>Bibliography/Conclusion</w:t>
      </w:r>
      <w:bookmarkEnd w:id="32"/>
    </w:p>
    <w:p w:rsidR="00DA0B4B" w:rsidRPr="00330901" w:rsidRDefault="00DA0B4B" w:rsidP="00DA0B4B">
      <w:pPr>
        <w:rPr>
          <w:lang w:val="en-US"/>
        </w:rPr>
      </w:pPr>
    </w:p>
    <w:p w:rsidR="00DA0B4B" w:rsidRPr="00E40853" w:rsidRDefault="00DA0B4B" w:rsidP="00DA0B4B">
      <w:pPr>
        <w:jc w:val="both"/>
        <w:rPr>
          <w:rStyle w:val="rynqvb"/>
          <w:rFonts w:ascii="Times New Roman" w:hAnsi="Times New Roman" w:cs="Times New Roman"/>
          <w:sz w:val="24"/>
          <w:szCs w:val="24"/>
          <w:lang w:val="en-US"/>
        </w:rPr>
      </w:pPr>
      <w:r w:rsidRPr="00E536DE">
        <w:rPr>
          <w:rStyle w:val="rynqvb"/>
          <w:rFonts w:ascii="Times New Roman" w:hAnsi="Times New Roman" w:cs="Times New Roman"/>
          <w:sz w:val="24"/>
          <w:szCs w:val="24"/>
          <w:lang w:val="en-US"/>
        </w:rPr>
        <w:t xml:space="preserve">Any reference to people and things is purely coincidental, as well as creative/imaginative and aimed at the common good (both in fiction and non-fiction/disclosable texts). The Owners/Inventors of the Editorial rights on the source </w:t>
      </w:r>
      <w:r w:rsidRPr="00E536DE">
        <w:rPr>
          <w:rStyle w:val="rynqvb"/>
          <w:rFonts w:ascii="Times New Roman" w:hAnsi="Times New Roman" w:cs="Times New Roman"/>
          <w:sz w:val="24"/>
          <w:szCs w:val="24"/>
          <w:lang w:val="en-US"/>
        </w:rPr>
        <w:lastRenderedPageBreak/>
        <w:t>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w:t>
      </w:r>
      <w:r w:rsidRPr="00E40853">
        <w:rPr>
          <w:rStyle w:val="rynqvb"/>
          <w:rFonts w:ascii="Times New Roman" w:hAnsi="Times New Roman" w:cs="Times New Roman"/>
          <w:sz w:val="24"/>
          <w:szCs w:val="24"/>
          <w:lang w:val="en-US"/>
        </w:rPr>
        <w:t xml:space="preserve"> </w:t>
      </w:r>
      <w:hyperlink r:id="rId22" w:history="1">
        <w:r w:rsidRPr="00E40853">
          <w:rPr>
            <w:rStyle w:val="Collegamentoipertestuale"/>
            <w:rFonts w:ascii="Times New Roman" w:hAnsi="Times New Roman" w:cs="Times New Roman"/>
            <w:b/>
            <w:sz w:val="24"/>
            <w:szCs w:val="24"/>
            <w:lang w:val="en-US"/>
          </w:rPr>
          <w:t>JWTeam</w:t>
        </w:r>
      </w:hyperlink>
      <w:r w:rsidRPr="00E40853">
        <w:rPr>
          <w:rStyle w:val="rynqvb"/>
          <w:rFonts w:ascii="Times New Roman" w:hAnsi="Times New Roman" w:cs="Times New Roman"/>
          <w:sz w:val="24"/>
          <w:szCs w:val="24"/>
          <w:lang w:val="en-US"/>
        </w:rPr>
        <w:t xml:space="preserve"> reviews and oversees the dissemination of </w:t>
      </w:r>
      <w:hyperlink r:id="rId23" w:history="1">
        <w:r w:rsidRPr="00E40853">
          <w:rPr>
            <w:rStyle w:val="Collegamentoipertestuale"/>
            <w:rFonts w:ascii="Times New Roman" w:hAnsi="Times New Roman" w:cs="Times New Roman"/>
            <w:b/>
            <w:sz w:val="24"/>
            <w:szCs w:val="24"/>
            <w:lang w:val="en-US"/>
          </w:rPr>
          <w:t>SDGs/UN</w:t>
        </w:r>
      </w:hyperlink>
      <w:r w:rsidRPr="00E40853">
        <w:rPr>
          <w:rStyle w:val="rynqvb"/>
          <w:rFonts w:ascii="Times New Roman" w:hAnsi="Times New Roman" w:cs="Times New Roman"/>
          <w:sz w:val="24"/>
          <w:szCs w:val="24"/>
          <w:lang w:val="en-US"/>
        </w:rPr>
        <w:t>, pronouncing itself with the pseudonym "</w:t>
      </w:r>
      <w:r w:rsidRPr="00E40853">
        <w:rPr>
          <w:rStyle w:val="rynqvb"/>
          <w:rFonts w:ascii="Times New Roman" w:hAnsi="Times New Roman" w:cs="Times New Roman"/>
          <w:b/>
          <w:color w:val="00B050"/>
          <w:sz w:val="24"/>
          <w:szCs w:val="24"/>
          <w:lang w:val="en-US"/>
        </w:rPr>
        <w:t>Ghost GREEN</w:t>
      </w:r>
      <w:r w:rsidRPr="00E40853">
        <w:rPr>
          <w:rStyle w:val="rynqvb"/>
          <w:rFonts w:ascii="Times New Roman" w:hAnsi="Times New Roman" w:cs="Times New Roman"/>
          <w:sz w:val="24"/>
          <w:szCs w:val="24"/>
          <w:lang w:val="en-US"/>
        </w:rPr>
        <w:t>".</w:t>
      </w:r>
    </w:p>
    <w:p w:rsidR="00DA0B4B" w:rsidRDefault="00DA0B4B" w:rsidP="00DA0B4B">
      <w:pPr>
        <w:pStyle w:val="Titolo1"/>
        <w:rPr>
          <w:rStyle w:val="rynqvb"/>
          <w:rFonts w:eastAsiaTheme="minorHAnsi" w:cs="Times New Roman"/>
          <w:b w:val="0"/>
          <w:bCs w:val="0"/>
          <w:color w:val="auto"/>
          <w:sz w:val="24"/>
          <w:szCs w:val="24"/>
          <w:lang w:val="en-US"/>
        </w:rPr>
      </w:pPr>
    </w:p>
    <w:p w:rsidR="00DA0B4B" w:rsidRPr="00330901" w:rsidRDefault="00DA0B4B" w:rsidP="00DA0B4B">
      <w:pPr>
        <w:pStyle w:val="Titolo1"/>
        <w:rPr>
          <w:rStyle w:val="rynqvb"/>
          <w:szCs w:val="24"/>
          <w:lang w:val="en-US"/>
        </w:rPr>
      </w:pPr>
      <w:bookmarkStart w:id="33" w:name="_Toc151759471"/>
      <w:r>
        <w:rPr>
          <w:rStyle w:val="rynqvb"/>
          <w:szCs w:val="24"/>
          <w:lang w:val="en-US"/>
        </w:rPr>
        <w:t>Digester</w:t>
      </w:r>
      <w:r w:rsidRPr="00330901">
        <w:rPr>
          <w:rStyle w:val="rynqvb"/>
          <w:szCs w:val="24"/>
          <w:lang w:val="en-US"/>
        </w:rPr>
        <w:t xml:space="preserve"> from </w:t>
      </w:r>
      <w:r>
        <w:rPr>
          <w:rStyle w:val="rynqvb"/>
          <w:szCs w:val="24"/>
          <w:lang w:val="en-US"/>
        </w:rPr>
        <w:t>MBGC</w:t>
      </w:r>
      <w:r w:rsidRPr="00330901">
        <w:rPr>
          <w:rStyle w:val="rynqvb"/>
          <w:szCs w:val="24"/>
          <w:lang w:val="en-US"/>
        </w:rPr>
        <w:t xml:space="preserve"> (source) :</w:t>
      </w:r>
      <w:bookmarkEnd w:id="33"/>
    </w:p>
    <w:p w:rsidR="00DA0B4B" w:rsidRPr="00AA304A" w:rsidRDefault="00DA0B4B" w:rsidP="00DA0B4B">
      <w:pPr>
        <w:rPr>
          <w:lang w:val="en-US"/>
        </w:rPr>
      </w:pPr>
    </w:p>
    <w:p w:rsidR="00DA0B4B" w:rsidRPr="00074C21" w:rsidRDefault="00DA0B4B" w:rsidP="00DA0B4B">
      <w:pPr>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 xml:space="preserve">Patent: </w:t>
      </w:r>
    </w:p>
    <w:p w:rsidR="00DA0B4B" w:rsidRPr="00074C21" w:rsidRDefault="00FB3048" w:rsidP="00DA0B4B">
      <w:pPr>
        <w:jc w:val="both"/>
        <w:rPr>
          <w:rStyle w:val="tlid-translation"/>
          <w:rFonts w:ascii="Times New Roman" w:hAnsi="Times New Roman" w:cs="Times New Roman"/>
          <w:sz w:val="24"/>
          <w:szCs w:val="24"/>
          <w:lang w:val="en-US"/>
        </w:rPr>
      </w:pPr>
      <w:hyperlink r:id="rId24" w:history="1">
        <w:r w:rsidR="00DA0B4B" w:rsidRPr="00074C21">
          <w:rPr>
            <w:rStyle w:val="Enfasigrassetto"/>
            <w:rFonts w:ascii="Times New Roman" w:hAnsi="Times New Roman" w:cs="Times New Roman"/>
            <w:color w:val="0000FF"/>
            <w:sz w:val="24"/>
            <w:szCs w:val="24"/>
            <w:u w:val="single"/>
            <w:lang w:val="en-US"/>
          </w:rPr>
          <w:t>MBGC</w:t>
        </w:r>
      </w:hyperlink>
      <w:r w:rsidR="00DA0B4B" w:rsidRPr="00074C21">
        <w:rPr>
          <w:rFonts w:ascii="Times New Roman" w:hAnsi="Times New Roman" w:cs="Times New Roman"/>
          <w:sz w:val="24"/>
          <w:szCs w:val="24"/>
          <w:lang w:val="en-US"/>
        </w:rPr>
        <w:t> ,    </w:t>
      </w:r>
      <w:hyperlink r:id="rId25" w:history="1">
        <w:r w:rsidR="00DA0B4B" w:rsidRPr="00074C21">
          <w:rPr>
            <w:rStyle w:val="Collegamentoipertestuale"/>
            <w:rFonts w:ascii="Times New Roman" w:hAnsi="Times New Roman" w:cs="Times New Roman"/>
            <w:b/>
            <w:sz w:val="24"/>
            <w:szCs w:val="24"/>
            <w:lang w:val="en-US"/>
          </w:rPr>
          <w:t>https://patentscope.wipo.int/search/en/detail.jsf?docId=WO2016092582</w:t>
        </w:r>
      </w:hyperlink>
      <w:r w:rsidR="00DA0B4B" w:rsidRPr="00074C21">
        <w:rPr>
          <w:rFonts w:ascii="Times New Roman" w:hAnsi="Times New Roman" w:cs="Times New Roman"/>
          <w:sz w:val="24"/>
          <w:szCs w:val="24"/>
          <w:lang w:val="en-US"/>
        </w:rPr>
        <w:t xml:space="preserve"> (organic waste to biogas, for urban and periurban); </w:t>
      </w:r>
      <w:hyperlink r:id="rId26" w:history="1">
        <w:r w:rsidR="00DA0B4B" w:rsidRPr="00074C21">
          <w:rPr>
            <w:rStyle w:val="Collegamentoipertestuale"/>
            <w:rFonts w:ascii="Times New Roman" w:hAnsi="Times New Roman" w:cs="Times New Roman"/>
            <w:sz w:val="24"/>
            <w:szCs w:val="24"/>
            <w:lang w:val="en-US"/>
          </w:rPr>
          <w:t>view1</w:t>
        </w:r>
      </w:hyperlink>
      <w:r w:rsidR="00DA0B4B" w:rsidRPr="00074C21">
        <w:rPr>
          <w:rFonts w:ascii="Times New Roman" w:hAnsi="Times New Roman" w:cs="Times New Roman"/>
          <w:sz w:val="24"/>
          <w:szCs w:val="24"/>
          <w:lang w:val="en-US"/>
        </w:rPr>
        <w:t xml:space="preserve">, </w:t>
      </w:r>
      <w:hyperlink r:id="rId27" w:history="1">
        <w:r w:rsidR="00DA0B4B" w:rsidRPr="00074C21">
          <w:rPr>
            <w:rStyle w:val="Collegamentoipertestuale"/>
            <w:rFonts w:ascii="Times New Roman" w:hAnsi="Times New Roman" w:cs="Times New Roman"/>
            <w:sz w:val="24"/>
            <w:szCs w:val="24"/>
            <w:lang w:val="en-US"/>
          </w:rPr>
          <w:t>MBGC_Plan</w:t>
        </w:r>
      </w:hyperlink>
      <w:r w:rsidR="00DA0B4B" w:rsidRPr="00074C21">
        <w:rPr>
          <w:rStyle w:val="tlid-translation"/>
          <w:rFonts w:ascii="Times New Roman" w:hAnsi="Times New Roman" w:cs="Times New Roman"/>
          <w:sz w:val="24"/>
          <w:szCs w:val="24"/>
          <w:lang w:val="en-US"/>
        </w:rPr>
        <w:t xml:space="preserve">, </w:t>
      </w:r>
      <w:hyperlink r:id="rId28" w:history="1">
        <w:r w:rsidR="00DA0B4B" w:rsidRPr="00074C21">
          <w:rPr>
            <w:rStyle w:val="Collegamentoipertestuale"/>
            <w:rFonts w:ascii="Times New Roman" w:hAnsi="Times New Roman" w:cs="Times New Roman"/>
            <w:sz w:val="24"/>
            <w:szCs w:val="24"/>
            <w:lang w:val="en-US"/>
          </w:rPr>
          <w:t>Hello</w:t>
        </w:r>
      </w:hyperlink>
      <w:r w:rsidR="00DA0B4B" w:rsidRPr="00074C21">
        <w:rPr>
          <w:rStyle w:val="tlid-translation"/>
          <w:rFonts w:ascii="Times New Roman" w:hAnsi="Times New Roman" w:cs="Times New Roman"/>
          <w:sz w:val="24"/>
          <w:szCs w:val="24"/>
          <w:lang w:val="en-US"/>
        </w:rPr>
        <w:t>;</w:t>
      </w:r>
    </w:p>
    <w:p w:rsidR="00DA0B4B" w:rsidRPr="00074C21" w:rsidRDefault="00DA0B4B" w:rsidP="00DA0B4B">
      <w:pPr>
        <w:jc w:val="both"/>
        <w:rPr>
          <w:rFonts w:ascii="Times New Roman" w:hAnsi="Times New Roman" w:cs="Times New Roman"/>
          <w:sz w:val="24"/>
          <w:szCs w:val="24"/>
          <w:lang w:val="en-US"/>
        </w:rPr>
      </w:pPr>
    </w:p>
    <w:p w:rsidR="00DA0B4B" w:rsidRPr="00074C21" w:rsidRDefault="00DA0B4B" w:rsidP="00DA0B4B">
      <w:pPr>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 xml:space="preserve">Italy: GRANT </w:t>
      </w:r>
    </w:p>
    <w:p w:rsidR="00DA0B4B" w:rsidRPr="00074C21" w:rsidRDefault="00FB3048" w:rsidP="00DA0B4B">
      <w:pPr>
        <w:jc w:val="both"/>
        <w:rPr>
          <w:rFonts w:ascii="Times New Roman" w:hAnsi="Times New Roman" w:cs="Times New Roman"/>
          <w:sz w:val="24"/>
          <w:szCs w:val="24"/>
          <w:lang w:val="en-US"/>
        </w:rPr>
      </w:pPr>
      <w:hyperlink r:id="rId29" w:history="1">
        <w:r w:rsidR="00DA0B4B" w:rsidRPr="00074C21">
          <w:rPr>
            <w:rStyle w:val="Collegamentoipertestuale"/>
            <w:rFonts w:ascii="Times New Roman" w:hAnsi="Times New Roman" w:cs="Times New Roman"/>
            <w:sz w:val="24"/>
            <w:szCs w:val="24"/>
            <w:lang w:val="en-US"/>
          </w:rPr>
          <w:t>http://www.expotv1.com/LIC/MISE_0001427413_MBGC.pdf</w:t>
        </w:r>
      </w:hyperlink>
      <w:r w:rsidR="00DA0B4B" w:rsidRPr="00074C21">
        <w:rPr>
          <w:rFonts w:ascii="Times New Roman" w:hAnsi="Times New Roman" w:cs="Times New Roman"/>
          <w:sz w:val="24"/>
          <w:szCs w:val="24"/>
          <w:lang w:val="en-US"/>
        </w:rPr>
        <w:t>, ...mean "INDUSTRY (useful), NEW (no make before), INVENTIVE (teach some things)"</w:t>
      </w:r>
    </w:p>
    <w:p w:rsidR="00DA0B4B" w:rsidRPr="00074C21" w:rsidRDefault="00DA0B4B" w:rsidP="00DA0B4B">
      <w:pPr>
        <w:jc w:val="both"/>
        <w:rPr>
          <w:rStyle w:val="rynqvb"/>
          <w:rFonts w:ascii="Times New Roman" w:hAnsi="Times New Roman" w:cs="Times New Roman"/>
          <w:sz w:val="24"/>
          <w:szCs w:val="24"/>
          <w:lang w:val="en-US"/>
        </w:rPr>
      </w:pPr>
    </w:p>
    <w:p w:rsidR="00DA0B4B" w:rsidRPr="00074C21" w:rsidRDefault="00DA0B4B" w:rsidP="00DA0B4B">
      <w:pPr>
        <w:jc w:val="both"/>
        <w:rPr>
          <w:rFonts w:ascii="Times New Roman" w:hAnsi="Times New Roman" w:cs="Times New Roman"/>
          <w:sz w:val="24"/>
          <w:szCs w:val="24"/>
          <w:lang w:val="en-US"/>
        </w:rPr>
      </w:pPr>
      <w:r w:rsidRPr="00074C21">
        <w:rPr>
          <w:rStyle w:val="rynqvb"/>
          <w:rFonts w:ascii="Times New Roman" w:hAnsi="Times New Roman" w:cs="Times New Roman"/>
          <w:b/>
          <w:sz w:val="24"/>
          <w:szCs w:val="24"/>
          <w:lang w:val="en-US"/>
        </w:rPr>
        <w:t xml:space="preserve">Abstract/Description - </w:t>
      </w:r>
      <w:r w:rsidRPr="00074C21">
        <w:rPr>
          <w:rFonts w:ascii="Times New Roman" w:hAnsi="Times New Roman" w:cs="Times New Roman"/>
          <w:sz w:val="24"/>
          <w:szCs w:val="24"/>
          <w:lang w:val="en-US"/>
        </w:rPr>
        <w:t xml:space="preserve">Patent:  </w:t>
      </w:r>
    </w:p>
    <w:p w:rsidR="00DA0B4B" w:rsidRPr="00E536DE" w:rsidRDefault="00FB3048" w:rsidP="00DA0B4B">
      <w:pPr>
        <w:jc w:val="both"/>
        <w:rPr>
          <w:rFonts w:ascii="Times New Roman" w:hAnsi="Times New Roman" w:cs="Times New Roman"/>
          <w:sz w:val="24"/>
          <w:szCs w:val="24"/>
          <w:lang w:val="en-US"/>
        </w:rPr>
      </w:pPr>
      <w:hyperlink r:id="rId30" w:history="1">
        <w:r w:rsidR="00DA0B4B" w:rsidRPr="00074C21">
          <w:rPr>
            <w:rStyle w:val="Enfasigrassetto"/>
            <w:rFonts w:ascii="Times New Roman" w:hAnsi="Times New Roman" w:cs="Times New Roman"/>
            <w:color w:val="0000FF"/>
            <w:sz w:val="24"/>
            <w:szCs w:val="24"/>
            <w:u w:val="single"/>
            <w:lang w:val="en-US"/>
          </w:rPr>
          <w:t>MBGC</w:t>
        </w:r>
      </w:hyperlink>
      <w:r w:rsidR="00DA0B4B" w:rsidRPr="00074C21">
        <w:rPr>
          <w:rFonts w:ascii="Times New Roman" w:hAnsi="Times New Roman" w:cs="Times New Roman"/>
          <w:sz w:val="24"/>
          <w:szCs w:val="24"/>
          <w:lang w:val="en-US"/>
        </w:rPr>
        <w:t> </w:t>
      </w:r>
      <w:r w:rsidR="00DA0B4B" w:rsidRPr="00074C21">
        <w:rPr>
          <w:rFonts w:ascii="Times New Roman" w:hAnsi="Times New Roman" w:cs="Times New Roman"/>
          <w:b/>
          <w:sz w:val="24"/>
          <w:szCs w:val="24"/>
          <w:lang w:val="en-US"/>
        </w:rPr>
        <w:t>,    </w:t>
      </w:r>
      <w:hyperlink r:id="rId31" w:history="1">
        <w:r w:rsidR="00DA0B4B" w:rsidRPr="00074C21">
          <w:rPr>
            <w:rStyle w:val="Collegamentoipertestuale"/>
            <w:rFonts w:ascii="Times New Roman" w:hAnsi="Times New Roman" w:cs="Times New Roman"/>
            <w:b/>
            <w:sz w:val="24"/>
            <w:szCs w:val="24"/>
            <w:lang w:val="en-US"/>
          </w:rPr>
          <w:t>https://patentscope.wipo.int/search/en/detail.jsf?docId=WO2016092582</w:t>
        </w:r>
      </w:hyperlink>
    </w:p>
    <w:p w:rsidR="00DA0B4B" w:rsidRPr="00E40853" w:rsidRDefault="00DA0B4B" w:rsidP="00DA0B4B">
      <w:pPr>
        <w:jc w:val="both"/>
        <w:rPr>
          <w:rStyle w:val="rynqvb"/>
          <w:rFonts w:ascii="Times New Roman" w:hAnsi="Times New Roman" w:cs="Times New Roman"/>
          <w:b/>
          <w:sz w:val="24"/>
          <w:szCs w:val="24"/>
          <w:lang w:val="en-US"/>
        </w:rPr>
      </w:pPr>
    </w:p>
    <w:p w:rsidR="00DA0B4B" w:rsidRPr="00E40853" w:rsidRDefault="00DA0B4B" w:rsidP="00DA0B4B">
      <w:pPr>
        <w:jc w:val="both"/>
        <w:rPr>
          <w:rStyle w:val="rynqvb"/>
          <w:rFonts w:ascii="Times New Roman" w:hAnsi="Times New Roman" w:cs="Times New Roman"/>
          <w:b/>
          <w:sz w:val="24"/>
          <w:szCs w:val="24"/>
          <w:lang w:val="en-US"/>
        </w:rPr>
      </w:pPr>
      <w:r w:rsidRPr="00E40853">
        <w:rPr>
          <w:rStyle w:val="rynqvb"/>
          <w:rFonts w:ascii="Times New Roman" w:hAnsi="Times New Roman" w:cs="Times New Roman"/>
          <w:b/>
          <w:sz w:val="24"/>
          <w:szCs w:val="24"/>
          <w:lang w:val="en-US"/>
        </w:rPr>
        <w:t xml:space="preserve">Full Intellectual Property </w:t>
      </w:r>
    </w:p>
    <w:p w:rsidR="00DA0B4B" w:rsidRPr="00E40853" w:rsidRDefault="00FB3048" w:rsidP="00DA0B4B">
      <w:pPr>
        <w:jc w:val="both"/>
        <w:rPr>
          <w:rStyle w:val="rynqvb"/>
          <w:rFonts w:ascii="Times New Roman" w:hAnsi="Times New Roman" w:cs="Times New Roman"/>
          <w:b/>
          <w:sz w:val="24"/>
          <w:szCs w:val="24"/>
          <w:lang w:val="en-US"/>
        </w:rPr>
      </w:pPr>
      <w:hyperlink r:id="rId32" w:history="1">
        <w:r w:rsidR="00DA0B4B" w:rsidRPr="00E40853">
          <w:rPr>
            <w:rStyle w:val="Collegamentoipertestuale"/>
            <w:rFonts w:ascii="Times New Roman" w:hAnsi="Times New Roman" w:cs="Times New Roman"/>
            <w:b/>
            <w:sz w:val="24"/>
            <w:szCs w:val="24"/>
            <w:lang w:val="en-US"/>
          </w:rPr>
          <w:t>http://www.expotv1.com/ESCP_Patent.htm</w:t>
        </w:r>
      </w:hyperlink>
    </w:p>
    <w:p w:rsidR="00DA0B4B" w:rsidRPr="00E40853" w:rsidRDefault="00DA0B4B" w:rsidP="00DA0B4B">
      <w:pPr>
        <w:jc w:val="both"/>
        <w:rPr>
          <w:rStyle w:val="rynqvb"/>
          <w:rFonts w:ascii="Times New Roman" w:hAnsi="Times New Roman" w:cs="Times New Roman"/>
          <w:b/>
          <w:sz w:val="24"/>
          <w:szCs w:val="24"/>
          <w:lang w:val="en-US"/>
        </w:rPr>
      </w:pPr>
    </w:p>
    <w:p w:rsidR="00DA0B4B" w:rsidRPr="00E40853" w:rsidRDefault="00DA0B4B" w:rsidP="00DA0B4B">
      <w:pPr>
        <w:jc w:val="both"/>
        <w:rPr>
          <w:rStyle w:val="rynqvb"/>
          <w:rFonts w:ascii="Times New Roman" w:hAnsi="Times New Roman" w:cs="Times New Roman"/>
          <w:b/>
          <w:sz w:val="24"/>
          <w:szCs w:val="24"/>
          <w:lang w:val="en-US"/>
        </w:rPr>
      </w:pPr>
      <w:r>
        <w:rPr>
          <w:rStyle w:val="rynqvb"/>
          <w:rFonts w:ascii="Times New Roman" w:hAnsi="Times New Roman" w:cs="Times New Roman"/>
          <w:b/>
          <w:sz w:val="24"/>
          <w:szCs w:val="24"/>
          <w:lang w:val="en-US"/>
        </w:rPr>
        <w:t xml:space="preserve">Full JWTeam Service </w:t>
      </w:r>
    </w:p>
    <w:p w:rsidR="00DA0B4B" w:rsidRPr="00E40853" w:rsidRDefault="00FB3048" w:rsidP="00DA0B4B">
      <w:pPr>
        <w:jc w:val="both"/>
        <w:rPr>
          <w:rStyle w:val="rynqvb"/>
          <w:rFonts w:ascii="Times New Roman" w:hAnsi="Times New Roman" w:cs="Times New Roman"/>
          <w:b/>
          <w:sz w:val="24"/>
          <w:szCs w:val="24"/>
          <w:lang w:val="en-US"/>
        </w:rPr>
      </w:pPr>
      <w:hyperlink r:id="rId33" w:history="1">
        <w:r w:rsidR="00DA0B4B" w:rsidRPr="00E40853">
          <w:rPr>
            <w:rStyle w:val="Collegamentoipertestuale"/>
            <w:rFonts w:ascii="Times New Roman" w:hAnsi="Times New Roman" w:cs="Times New Roman"/>
            <w:b/>
            <w:sz w:val="24"/>
            <w:szCs w:val="24"/>
            <w:lang w:val="en-US"/>
          </w:rPr>
          <w:t>http://www.expotv1.com/PUB/JWT_Service_EN.pdf</w:t>
        </w:r>
      </w:hyperlink>
    </w:p>
    <w:p w:rsidR="00DA0B4B" w:rsidRPr="00E40853" w:rsidRDefault="00DA0B4B" w:rsidP="00DA0B4B">
      <w:pPr>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DA0B4B" w:rsidRPr="00E536DE" w:rsidRDefault="00DA0B4B" w:rsidP="00DA0B4B">
      <w:pPr>
        <w:pStyle w:val="Titolo1"/>
        <w:rPr>
          <w:lang w:val="en-US"/>
        </w:rPr>
      </w:pPr>
      <w:bookmarkStart w:id="34" w:name="_Toc151759472"/>
      <w:r w:rsidRPr="00E536DE">
        <w:rPr>
          <w:lang w:val="en-US"/>
        </w:rPr>
        <w:lastRenderedPageBreak/>
        <w:t>Summary – Applications (to SDGs)</w:t>
      </w:r>
      <w:bookmarkEnd w:id="34"/>
    </w:p>
    <w:p w:rsidR="00DA0B4B" w:rsidRPr="00074C21" w:rsidRDefault="00DA0B4B" w:rsidP="00DA0B4B">
      <w:pPr>
        <w:pStyle w:val="NormaleWeb"/>
        <w:jc w:val="both"/>
        <w:rPr>
          <w:lang w:val="en-US"/>
        </w:rPr>
      </w:pPr>
    </w:p>
    <w:p w:rsidR="00DA0B4B" w:rsidRDefault="00FB3048" w:rsidP="00DA0B4B">
      <w:pPr>
        <w:pStyle w:val="NormaleWeb"/>
        <w:jc w:val="right"/>
        <w:rPr>
          <w:rStyle w:val="Enfasigrassetto"/>
          <w:color w:val="0000FF"/>
          <w:lang w:val="en-US"/>
        </w:rPr>
      </w:pPr>
      <w:hyperlink r:id="rId34" w:history="1">
        <w:r w:rsidR="00DA0B4B" w:rsidRPr="00074C21">
          <w:rPr>
            <w:rStyle w:val="Enfasigrassetto"/>
            <w:color w:val="0000FF"/>
            <w:u w:val="single"/>
            <w:lang w:val="en-US"/>
          </w:rPr>
          <w:t>MBGC</w:t>
        </w:r>
      </w:hyperlink>
      <w:r w:rsidR="00DA0B4B" w:rsidRPr="00074C21">
        <w:rPr>
          <w:rStyle w:val="Enfasigrassetto"/>
          <w:color w:val="0000FF"/>
          <w:lang w:val="en-US"/>
        </w:rPr>
        <w:t xml:space="preserve"> </w:t>
      </w:r>
    </w:p>
    <w:p w:rsidR="00DA0B4B" w:rsidRPr="00074C21" w:rsidRDefault="00FB3048" w:rsidP="00DA0B4B">
      <w:pPr>
        <w:pStyle w:val="NormaleWeb"/>
        <w:jc w:val="right"/>
        <w:rPr>
          <w:color w:val="0000FF"/>
          <w:lang w:val="en-US"/>
        </w:rPr>
      </w:pPr>
      <w:hyperlink r:id="rId35" w:history="1">
        <w:r w:rsidR="00DA0B4B" w:rsidRPr="00074C21">
          <w:rPr>
            <w:rStyle w:val="Enfasigrassetto"/>
            <w:color w:val="0000FF"/>
            <w:u w:val="single"/>
            <w:lang w:val="en-US"/>
          </w:rPr>
          <w:t>https://patentscope.wipo.int/search/en/detail.jsf?docId=WO2016092582</w:t>
        </w:r>
      </w:hyperlink>
    </w:p>
    <w:p w:rsidR="00DA0B4B" w:rsidRPr="00074C21" w:rsidRDefault="00DA0B4B" w:rsidP="00DA0B4B">
      <w:pPr>
        <w:pStyle w:val="NormaleWeb"/>
        <w:jc w:val="both"/>
        <w:rPr>
          <w:color w:val="0000FF"/>
          <w:lang w:val="en-US"/>
        </w:rPr>
      </w:pPr>
      <w:r w:rsidRPr="00074C21">
        <w:rPr>
          <w:rStyle w:val="Enfasigrassetto"/>
          <w:color w:val="008000"/>
          <w:lang w:val="en-US"/>
        </w:rPr>
        <w:t xml:space="preserve">Biogas - </w:t>
      </w:r>
      <w:r w:rsidRPr="00074C21">
        <w:rPr>
          <w:rStyle w:val="Enfasigrassetto"/>
          <w:color w:val="0000FF"/>
          <w:lang w:val="en-US"/>
        </w:rPr>
        <w:t xml:space="preserve">generate high purity raw materials from organic matrices. </w:t>
      </w:r>
      <w:r w:rsidRPr="00074C21">
        <w:rPr>
          <w:rStyle w:val="Enfasigrassetto"/>
          <w:color w:val="008000"/>
          <w:lang w:val="en-US"/>
        </w:rPr>
        <w:t xml:space="preserve">MBGC </w:t>
      </w:r>
      <w:r w:rsidRPr="00074C21">
        <w:rPr>
          <w:color w:val="000000"/>
          <w:lang w:val="en-US"/>
        </w:rPr>
        <w:t>is dedicated to the disposal and reconversion of organic waste , both from excrement (human and animal) and from manufacturing processes (agri-food industry), as well as in many agro-zootechnical activities. Very compact system that uses only renewable energy, with high energy recovery indices and production of high quality by-products (CH4, CO2, NPKx , H2O). Excellent solution for urban areas for contrast to the disposal of wastewater and containment of interventions on its infrastructures ( sewerage transport networks and purifiers ), acting in a distributive /pervasive manner where the problem arises. It offers significant contrast to the load</w:t>
      </w:r>
      <w:r w:rsidRPr="00074C21">
        <w:rPr>
          <w:rFonts w:eastAsia="MS Mincho"/>
          <w:color w:val="000000"/>
        </w:rPr>
        <w:t xml:space="preserve">　</w:t>
      </w:r>
      <w:r w:rsidRPr="00074C21">
        <w:rPr>
          <w:color w:val="000000"/>
          <w:lang w:val="en-US"/>
        </w:rPr>
        <w:t>Organic</w:t>
      </w:r>
      <w:r w:rsidRPr="00074C21">
        <w:rPr>
          <w:rFonts w:eastAsia="MS Mincho"/>
          <w:color w:val="000000"/>
        </w:rPr>
        <w:t xml:space="preserve">　</w:t>
      </w:r>
      <w:r w:rsidRPr="00074C21">
        <w:rPr>
          <w:color w:val="000000"/>
          <w:lang w:val="en-US"/>
        </w:rPr>
        <w:t>contributing to the performance on</w:t>
      </w:r>
      <w:r w:rsidRPr="00074C21">
        <w:rPr>
          <w:rFonts w:eastAsia="MS Mincho"/>
          <w:color w:val="000000"/>
        </w:rPr>
        <w:t xml:space="preserve">　</w:t>
      </w:r>
      <w:r w:rsidRPr="00074C21">
        <w:rPr>
          <w:color w:val="000000"/>
          <w:lang w:val="en-US"/>
        </w:rPr>
        <w:t xml:space="preserve">" </w:t>
      </w:r>
      <w:r w:rsidRPr="00074C21">
        <w:rPr>
          <w:rStyle w:val="Enfasigrassetto"/>
          <w:color w:val="000000"/>
          <w:lang w:val="en-US"/>
        </w:rPr>
        <w:t xml:space="preserve">Water cycle </w:t>
      </w:r>
      <w:r w:rsidRPr="00074C21">
        <w:rPr>
          <w:color w:val="000000"/>
          <w:lang w:val="en-US"/>
        </w:rPr>
        <w:t>".</w:t>
      </w:r>
    </w:p>
    <w:p w:rsidR="00DA0B4B" w:rsidRPr="00074C21" w:rsidRDefault="00DA0B4B" w:rsidP="00DA0B4B">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t xml:space="preserve">Project: </w:t>
      </w:r>
      <w:r w:rsidRPr="00074C21">
        <w:rPr>
          <w:rFonts w:ascii="Times New Roman" w:hAnsi="Times New Roman" w:cs="Times New Roman"/>
          <w:sz w:val="24"/>
          <w:szCs w:val="24"/>
          <w:lang w:val="en-US"/>
        </w:rPr>
        <w:t xml:space="preserve">MBGC </w:t>
      </w:r>
      <w:r>
        <w:rPr>
          <w:rFonts w:ascii="Times New Roman" w:hAnsi="Times New Roman" w:cs="Times New Roman"/>
          <w:sz w:val="24"/>
          <w:szCs w:val="24"/>
          <w:lang w:val="en-US"/>
        </w:rPr>
        <w:t>–</w:t>
      </w:r>
      <w:r w:rsidRPr="00074C21">
        <w:rPr>
          <w:rFonts w:ascii="Times New Roman" w:hAnsi="Times New Roman" w:cs="Times New Roman"/>
          <w:sz w:val="24"/>
          <w:szCs w:val="24"/>
          <w:lang w:val="en-US"/>
        </w:rPr>
        <w:t xml:space="preserve"> Mini</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Bio</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Gas</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Continuous</w:t>
      </w:r>
    </w:p>
    <w:p w:rsidR="00DA0B4B" w:rsidRPr="00074C21" w:rsidRDefault="00DA0B4B" w:rsidP="00DA0B4B">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t xml:space="preserve">Objective : </w:t>
      </w:r>
      <w:r w:rsidRPr="00074C21">
        <w:rPr>
          <w:rFonts w:ascii="Times New Roman" w:hAnsi="Times New Roman" w:cs="Times New Roman"/>
          <w:sz w:val="24"/>
          <w:szCs w:val="24"/>
          <w:lang w:val="en-US"/>
        </w:rPr>
        <w:t>Launch a pre- assembly and testing site (procedures and manuals) for the production of MBGC tanks</w:t>
      </w:r>
    </w:p>
    <w:p w:rsidR="00DA0B4B" w:rsidRPr="00074C21" w:rsidRDefault="00DA0B4B" w:rsidP="00DA0B4B">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lastRenderedPageBreak/>
        <w:t xml:space="preserve">Target: </w:t>
      </w:r>
      <w:r w:rsidRPr="00074C21">
        <w:rPr>
          <w:rFonts w:ascii="Times New Roman" w:hAnsi="Times New Roman" w:cs="Times New Roman"/>
          <w:sz w:val="24"/>
          <w:szCs w:val="24"/>
          <w:lang w:val="en-US"/>
        </w:rPr>
        <w:t>Prefabricated (CLS) companies, hydromechanics , financial investors, operators in the BioGas / BioMethane sector</w:t>
      </w:r>
    </w:p>
    <w:p w:rsidR="00DA0B4B" w:rsidRPr="00074C21" w:rsidRDefault="00DA0B4B" w:rsidP="00DA0B4B">
      <w:pPr>
        <w:adjustRightInd w:val="0"/>
        <w:jc w:val="both"/>
        <w:rPr>
          <w:rFonts w:ascii="Times New Roman" w:hAnsi="Times New Roman" w:cs="Times New Roman"/>
          <w:sz w:val="24"/>
          <w:szCs w:val="24"/>
          <w:lang w:val="en-US"/>
        </w:rPr>
      </w:pPr>
    </w:p>
    <w:p w:rsidR="00DA0B4B" w:rsidRPr="00074C21" w:rsidRDefault="00DA0B4B" w:rsidP="00DA0B4B">
      <w:pPr>
        <w:adjustRightInd w:val="0"/>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products available for supply) and destinations of the outputs produced. The solutions rely on standard products from the water management and prefabricated market, assembled and tested with a view to  optimize linear anaerobic digestion, with selective and corrective extraction. In collaboration with internal and external laboratories, it will act as remote support for the installations in charge (EPC - Engineering , Procurement and Construction ).</w:t>
      </w:r>
    </w:p>
    <w:p w:rsidR="00DA0B4B" w:rsidRPr="00074C21" w:rsidRDefault="00DA0B4B" w:rsidP="00DA0B4B">
      <w:pPr>
        <w:adjustRightInd w:val="0"/>
        <w:jc w:val="both"/>
        <w:rPr>
          <w:rFonts w:ascii="Times New Roman" w:hAnsi="Times New Roman" w:cs="Times New Roman"/>
          <w:color w:val="000000"/>
          <w:sz w:val="24"/>
          <w:szCs w:val="24"/>
          <w:lang w:val="en-US"/>
        </w:rPr>
      </w:pP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b/>
          <w:sz w:val="24"/>
          <w:szCs w:val="24"/>
          <w:lang w:val="en-US" w:eastAsia="it-IT"/>
        </w:rPr>
        <w:t xml:space="preserve">Summary: </w:t>
      </w:r>
      <w:r w:rsidRPr="00074C21">
        <w:rPr>
          <w:rFonts w:ascii="Times New Roman" w:hAnsi="Times New Roman" w:cs="Times New Roman"/>
          <w:sz w:val="24"/>
          <w:szCs w:val="24"/>
          <w:lang w:val="en-US" w:eastAsia="it-IT"/>
        </w:rPr>
        <w:t xml:space="preserve">This is a method for anaerobic digestion and a device for its implementation. Anaerobic digestion is a biological process that breaks down organic matter in the absence of oxygen, producing biogas, fertilizer and water. Biogas is a mixture of methane, carbon dioxide and other gases that can be used as a renewable energy source. The fertilizer is composed of nitrogen, phosphorus and </w:t>
      </w:r>
      <w:r w:rsidRPr="00074C21">
        <w:rPr>
          <w:rFonts w:ascii="Times New Roman" w:hAnsi="Times New Roman" w:cs="Times New Roman"/>
          <w:sz w:val="24"/>
          <w:szCs w:val="24"/>
          <w:lang w:val="en-US" w:eastAsia="it-IT"/>
        </w:rPr>
        <w:lastRenderedPageBreak/>
        <w:t>potassium salts ( NPKx salts ) which can be used to enrich the soil or supplement supplies from specific industries. Water is the liquid fraction that can be reused or discharged after treatment.</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br/>
        <w:t>A device to implement this method consists of a tank divided into different areas, where different phases of anaerobic digestion take place. The tank is equipped with bulkheads, pipes, pumps, heating means and gas separation means. The organic matter enters the tank through a vertical inlet pipe ( in homogeneous diffusion mode) and undergoes the following phases:</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1) Hydrolysis: organic matter is divided into smaller molecules by means of water and enzymes;</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2) Acidogenesis : the hydrolyzed products are transformed into volatile fatty acids and other compounds by acidogenic bacteria .;</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3) Acetogenesis : volatile fatty acids and other compounds are further transformed into acetic acid, hydrogen and carbon dioxide by acetogenic bacteria;</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4) Methanogenesis : acetic acid, hydrogen and carbon dioxide are transformed into methane and carbon dioxide by methane genic bacteria;</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lastRenderedPageBreak/>
        <w:br/>
        <w:t xml:space="preserve">The liquid mixture flows through the tank from one area to another, following a path defined by the bulkheads and pipes. Along the way, some pumps recycle some of the liquid mixture to optimize the process. In the last zone, the liquid mixture separates into different components by gravity: </w:t>
      </w:r>
      <w:r w:rsidRPr="00074C21">
        <w:rPr>
          <w:rFonts w:ascii="Times New Roman" w:hAnsi="Times New Roman" w:cs="Times New Roman"/>
          <w:sz w:val="24"/>
          <w:szCs w:val="24"/>
          <w:lang w:val="en-US" w:eastAsia="it-IT"/>
        </w:rPr>
        <w:br/>
        <w:t>a) Oleic phase: the lighter fraction which mainly contains fats and oils , is drained and brought back to the beginning;</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b) Protein phase: the heavier fraction which mainly contains proteins and amino acids, not yet treated, is taken and brought to the beginning;</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c) NPK salts: the solid fraction that precipitates at different levels according to their solubility and specific weight;</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d) Clarified water: the clear fraction that remains after the separation of the other components is expelled by gravity and thermally pre-treated in the last part of the tank at half level;</w:t>
      </w:r>
    </w:p>
    <w:p w:rsidR="00DA0B4B" w:rsidRPr="00074C21" w:rsidRDefault="00DA0B4B" w:rsidP="00DA0B4B">
      <w:pPr>
        <w:jc w:val="both"/>
        <w:rPr>
          <w:rFonts w:ascii="Times New Roman" w:hAnsi="Times New Roman" w:cs="Times New Roman"/>
          <w:sz w:val="24"/>
          <w:szCs w:val="24"/>
          <w:lang w:val="en-US" w:eastAsia="it-IT"/>
        </w:rPr>
      </w:pP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 xml:space="preserve">The gases produced during the process (methane and carbon dioxide) rise towards the top of the tank, where </w:t>
      </w:r>
      <w:r w:rsidRPr="00074C21">
        <w:rPr>
          <w:rFonts w:ascii="Times New Roman" w:hAnsi="Times New Roman" w:cs="Times New Roman"/>
          <w:sz w:val="24"/>
          <w:szCs w:val="24"/>
          <w:lang w:val="en-US" w:eastAsia="it-IT"/>
        </w:rPr>
        <w:lastRenderedPageBreak/>
        <w:t>they separate by density and start non-specific functions. Carbon dioxide, being heavier, remains in the lower part of the space above the liquid surface, while methane, being lighter, moves towards the upper part of the space. Gases are extracted through pipes with holes that are connected to gas storage or utilization systems. The device also includes a lighting and cooling system to prevent the formation of hydrogen sulfide, a toxic gas that can result in anaerobic digestion, damaging it. Lighting stimulates photosynthesis in some bacteria that consume hydrogen sulfide in the absence of oxygen. Cooling condenses water vapor in the gas phase and returns it to the liquid phase .</w:t>
      </w:r>
    </w:p>
    <w:p w:rsidR="00DA0B4B" w:rsidRPr="00074C21" w:rsidRDefault="00DA0B4B" w:rsidP="00DA0B4B">
      <w:pPr>
        <w:jc w:val="both"/>
        <w:rPr>
          <w:rFonts w:ascii="Times New Roman" w:hAnsi="Times New Roman" w:cs="Times New Roman"/>
          <w:sz w:val="24"/>
          <w:szCs w:val="24"/>
          <w:lang w:val="en-US" w:eastAsia="it-IT"/>
        </w:rPr>
      </w:pPr>
    </w:p>
    <w:p w:rsidR="00DA0B4B" w:rsidRPr="00074C21" w:rsidRDefault="00FB3048" w:rsidP="00DA0B4B">
      <w:pPr>
        <w:pStyle w:val="Corpodeltesto"/>
        <w:tabs>
          <w:tab w:val="left" w:pos="3153"/>
        </w:tabs>
        <w:spacing w:before="2"/>
        <w:jc w:val="right"/>
        <w:rPr>
          <w:b/>
          <w:i/>
          <w:sz w:val="24"/>
          <w:lang w:val="en-US" w:eastAsia="it-IT"/>
        </w:rPr>
      </w:pPr>
      <w:hyperlink r:id="rId36" w:history="1">
        <w:r w:rsidR="00DA0B4B" w:rsidRPr="00074C21">
          <w:rPr>
            <w:rStyle w:val="Collegamentoipertestuale"/>
            <w:b/>
            <w:i/>
            <w:sz w:val="24"/>
            <w:lang w:val="en-US"/>
          </w:rPr>
          <w:t xml:space="preserve">SDGs </w:t>
        </w:r>
      </w:hyperlink>
      <w:hyperlink r:id="rId37" w:history="1">
        <w:r w:rsidR="00DA0B4B" w:rsidRPr="00074C21">
          <w:rPr>
            <w:rStyle w:val="Collegamentoipertestuale"/>
            <w:b/>
            <w:i/>
            <w:sz w:val="24"/>
            <w:lang w:val="en-US"/>
          </w:rPr>
          <w:t xml:space="preserve">/ </w:t>
        </w:r>
      </w:hyperlink>
      <w:hyperlink r:id="rId38" w:history="1"/>
      <w:hyperlink r:id="rId39" w:history="1">
        <w:r w:rsidR="00DA0B4B" w:rsidRPr="00074C21">
          <w:rPr>
            <w:rStyle w:val="Collegamentoipertestuale"/>
            <w:b/>
            <w:i/>
            <w:sz w:val="24"/>
            <w:lang w:val="en-US"/>
          </w:rPr>
          <w:t xml:space="preserve">UN_en </w:t>
        </w:r>
      </w:hyperlink>
      <w:hyperlink r:id="rId40" w:history="1"/>
      <w:r w:rsidR="00DA0B4B" w:rsidRPr="00074C21">
        <w:rPr>
          <w:b/>
          <w:i/>
          <w:sz w:val="24"/>
          <w:lang w:val="en-US"/>
        </w:rPr>
        <w:t xml:space="preserve">- </w:t>
      </w:r>
      <w:hyperlink r:id="rId41" w:history="1">
        <w:r w:rsidR="00DA0B4B" w:rsidRPr="00074C21">
          <w:rPr>
            <w:rStyle w:val="Collegamentoipertestuale"/>
            <w:b/>
            <w:i/>
            <w:sz w:val="24"/>
            <w:lang w:val="en-US"/>
          </w:rPr>
          <w:t xml:space="preserve">SDGs </w:t>
        </w:r>
      </w:hyperlink>
      <w:hyperlink r:id="rId42" w:history="1">
        <w:r w:rsidR="00DA0B4B" w:rsidRPr="00074C21">
          <w:rPr>
            <w:rStyle w:val="Collegamentoipertestuale"/>
            <w:b/>
            <w:i/>
            <w:sz w:val="24"/>
            <w:lang w:val="en-US"/>
          </w:rPr>
          <w:t xml:space="preserve">/ </w:t>
        </w:r>
      </w:hyperlink>
      <w:hyperlink r:id="rId43" w:history="1"/>
      <w:hyperlink r:id="rId44" w:history="1">
        <w:r w:rsidR="00DA0B4B" w:rsidRPr="00074C21">
          <w:rPr>
            <w:rStyle w:val="Collegamentoipertestuale"/>
            <w:b/>
            <w:i/>
            <w:sz w:val="24"/>
            <w:lang w:val="en-US"/>
          </w:rPr>
          <w:t>UN_it</w:t>
        </w:r>
      </w:hyperlink>
      <w:hyperlink r:id="rId45" w:history="1"/>
      <w:r w:rsidR="00DA0B4B" w:rsidRPr="00074C21">
        <w:rPr>
          <w:b/>
          <w:i/>
          <w:sz w:val="24"/>
          <w:lang w:val="en-US"/>
        </w:rPr>
        <w:t xml:space="preserve">  </w:t>
      </w:r>
      <w:r w:rsidR="00DA0B4B" w:rsidRPr="00074C21">
        <w:rPr>
          <w:b/>
          <w:i/>
          <w:sz w:val="24"/>
          <w:lang w:val="en-US" w:eastAsia="it-IT"/>
        </w:rPr>
        <w:t>Full Strategy to</w:t>
      </w:r>
    </w:p>
    <w:p w:rsidR="00DA0B4B" w:rsidRPr="00074C21" w:rsidRDefault="00DA0B4B" w:rsidP="00DA0B4B">
      <w:pPr>
        <w:pStyle w:val="Corpodeltesto"/>
        <w:tabs>
          <w:tab w:val="left" w:pos="3153"/>
        </w:tabs>
        <w:spacing w:before="2"/>
        <w:jc w:val="right"/>
        <w:rPr>
          <w:b/>
          <w:i/>
          <w:sz w:val="24"/>
        </w:rPr>
      </w:pPr>
      <w:r w:rsidRPr="00074C21">
        <w:rPr>
          <w:b/>
          <w:i/>
          <w:sz w:val="24"/>
          <w:lang w:val="en-US" w:eastAsia="it-IT"/>
        </w:rPr>
        <w:t xml:space="preserve"> </w:t>
      </w:r>
      <w:hyperlink r:id="rId46" w:history="1">
        <w:r w:rsidRPr="00074C21">
          <w:rPr>
            <w:rStyle w:val="Collegamentoipertestuale"/>
            <w:b/>
            <w:i/>
            <w:color w:val="00B050"/>
            <w:sz w:val="24"/>
          </w:rPr>
          <w:t>1</w:t>
        </w:r>
      </w:hyperlink>
      <w:r w:rsidRPr="00074C21">
        <w:rPr>
          <w:rStyle w:val="badge"/>
          <w:b/>
          <w:i/>
          <w:color w:val="00B050"/>
          <w:sz w:val="24"/>
        </w:rPr>
        <w:t xml:space="preserve"> </w:t>
      </w:r>
      <w:hyperlink r:id="rId47" w:history="1">
        <w:r w:rsidRPr="00074C21">
          <w:rPr>
            <w:rStyle w:val="Collegamentoipertestuale"/>
            <w:b/>
            <w:i/>
            <w:color w:val="00B050"/>
            <w:sz w:val="24"/>
          </w:rPr>
          <w:t>2</w:t>
        </w:r>
      </w:hyperlink>
      <w:r w:rsidRPr="00074C21">
        <w:rPr>
          <w:rStyle w:val="badge"/>
          <w:b/>
          <w:i/>
          <w:color w:val="00B050"/>
          <w:sz w:val="24"/>
        </w:rPr>
        <w:t xml:space="preserve"> </w:t>
      </w:r>
      <w:hyperlink r:id="rId48" w:history="1">
        <w:r w:rsidRPr="00074C21">
          <w:rPr>
            <w:rStyle w:val="Collegamentoipertestuale"/>
            <w:b/>
            <w:i/>
            <w:color w:val="00B050"/>
            <w:sz w:val="24"/>
          </w:rPr>
          <w:t>3</w:t>
        </w:r>
      </w:hyperlink>
      <w:r w:rsidRPr="00074C21">
        <w:rPr>
          <w:rStyle w:val="badge"/>
          <w:b/>
          <w:i/>
          <w:color w:val="00B050"/>
          <w:sz w:val="24"/>
        </w:rPr>
        <w:t xml:space="preserve"> </w:t>
      </w:r>
      <w:hyperlink r:id="rId49" w:history="1">
        <w:r w:rsidRPr="00074C21">
          <w:rPr>
            <w:rStyle w:val="Collegamentoipertestuale"/>
            <w:b/>
            <w:i/>
            <w:color w:val="00B050"/>
            <w:sz w:val="24"/>
          </w:rPr>
          <w:t>4</w:t>
        </w:r>
      </w:hyperlink>
      <w:r w:rsidRPr="00074C21">
        <w:rPr>
          <w:rStyle w:val="badge"/>
          <w:b/>
          <w:i/>
          <w:color w:val="00B050"/>
          <w:sz w:val="24"/>
        </w:rPr>
        <w:t xml:space="preserve"> </w:t>
      </w:r>
      <w:hyperlink r:id="rId50" w:history="1">
        <w:r w:rsidRPr="00074C21">
          <w:rPr>
            <w:rStyle w:val="Collegamentoipertestuale"/>
            <w:b/>
            <w:i/>
            <w:color w:val="00B050"/>
            <w:sz w:val="24"/>
          </w:rPr>
          <w:t>5</w:t>
        </w:r>
      </w:hyperlink>
      <w:r w:rsidRPr="00074C21">
        <w:rPr>
          <w:rStyle w:val="badge"/>
          <w:b/>
          <w:i/>
          <w:color w:val="00B050"/>
          <w:sz w:val="24"/>
        </w:rPr>
        <w:t xml:space="preserve"> </w:t>
      </w:r>
      <w:hyperlink r:id="rId51" w:history="1">
        <w:r w:rsidRPr="00074C21">
          <w:rPr>
            <w:rStyle w:val="Collegamentoipertestuale"/>
            <w:b/>
            <w:i/>
            <w:color w:val="00B050"/>
            <w:sz w:val="24"/>
          </w:rPr>
          <w:t>6</w:t>
        </w:r>
      </w:hyperlink>
      <w:r w:rsidRPr="00074C21">
        <w:rPr>
          <w:rStyle w:val="badge"/>
          <w:b/>
          <w:i/>
          <w:color w:val="00B050"/>
          <w:sz w:val="24"/>
        </w:rPr>
        <w:t xml:space="preserve"> </w:t>
      </w:r>
      <w:hyperlink r:id="rId52" w:history="1">
        <w:r w:rsidRPr="00074C21">
          <w:rPr>
            <w:rStyle w:val="Collegamentoipertestuale"/>
            <w:b/>
            <w:i/>
            <w:color w:val="00B050"/>
            <w:sz w:val="24"/>
          </w:rPr>
          <w:t>7</w:t>
        </w:r>
      </w:hyperlink>
      <w:r w:rsidRPr="00074C21">
        <w:rPr>
          <w:rStyle w:val="badge"/>
          <w:b/>
          <w:i/>
          <w:color w:val="00B050"/>
          <w:sz w:val="24"/>
        </w:rPr>
        <w:t xml:space="preserve"> </w:t>
      </w:r>
      <w:hyperlink r:id="rId53" w:history="1">
        <w:r w:rsidRPr="00074C21">
          <w:rPr>
            <w:rStyle w:val="Collegamentoipertestuale"/>
            <w:b/>
            <w:i/>
            <w:color w:val="0070C0"/>
            <w:sz w:val="24"/>
          </w:rPr>
          <w:t>8</w:t>
        </w:r>
      </w:hyperlink>
      <w:r w:rsidRPr="00074C21">
        <w:rPr>
          <w:rStyle w:val="badge"/>
          <w:b/>
          <w:i/>
          <w:color w:val="00B050"/>
          <w:sz w:val="24"/>
        </w:rPr>
        <w:t xml:space="preserve"> </w:t>
      </w:r>
      <w:hyperlink r:id="rId54" w:history="1">
        <w:r w:rsidRPr="00074C21">
          <w:rPr>
            <w:rStyle w:val="Collegamentoipertestuale"/>
            <w:b/>
            <w:i/>
            <w:color w:val="00B050"/>
            <w:sz w:val="24"/>
          </w:rPr>
          <w:t>9</w:t>
        </w:r>
      </w:hyperlink>
      <w:r w:rsidRPr="00074C21">
        <w:rPr>
          <w:rStyle w:val="badge"/>
          <w:b/>
          <w:i/>
          <w:color w:val="00B050"/>
          <w:sz w:val="24"/>
        </w:rPr>
        <w:t xml:space="preserve"> </w:t>
      </w:r>
      <w:hyperlink r:id="rId55" w:history="1">
        <w:r w:rsidRPr="00074C21">
          <w:rPr>
            <w:rStyle w:val="Collegamentoipertestuale"/>
            <w:b/>
            <w:i/>
            <w:color w:val="0070C0"/>
            <w:sz w:val="24"/>
          </w:rPr>
          <w:t>10</w:t>
        </w:r>
      </w:hyperlink>
      <w:r w:rsidRPr="00074C21">
        <w:rPr>
          <w:rStyle w:val="badge"/>
          <w:b/>
          <w:i/>
          <w:color w:val="00B050"/>
          <w:sz w:val="24"/>
        </w:rPr>
        <w:t xml:space="preserve"> </w:t>
      </w:r>
      <w:hyperlink r:id="rId56" w:history="1">
        <w:r w:rsidRPr="00074C21">
          <w:rPr>
            <w:rStyle w:val="Collegamentoipertestuale"/>
            <w:b/>
            <w:i/>
            <w:color w:val="00B050"/>
            <w:sz w:val="24"/>
          </w:rPr>
          <w:t>11</w:t>
        </w:r>
      </w:hyperlink>
      <w:r w:rsidRPr="00074C21">
        <w:rPr>
          <w:rStyle w:val="badge"/>
          <w:b/>
          <w:i/>
          <w:color w:val="00B050"/>
          <w:sz w:val="24"/>
        </w:rPr>
        <w:t xml:space="preserve"> </w:t>
      </w:r>
      <w:hyperlink r:id="rId57" w:history="1">
        <w:r w:rsidRPr="00074C21">
          <w:rPr>
            <w:rStyle w:val="Collegamentoipertestuale"/>
            <w:b/>
            <w:i/>
            <w:color w:val="00B050"/>
            <w:sz w:val="24"/>
          </w:rPr>
          <w:t>12</w:t>
        </w:r>
      </w:hyperlink>
      <w:r w:rsidRPr="00074C21">
        <w:rPr>
          <w:rStyle w:val="badge"/>
          <w:b/>
          <w:i/>
          <w:color w:val="00B050"/>
          <w:sz w:val="24"/>
        </w:rPr>
        <w:t xml:space="preserve"> </w:t>
      </w:r>
      <w:hyperlink r:id="rId58" w:history="1">
        <w:r w:rsidRPr="00074C21">
          <w:rPr>
            <w:rStyle w:val="Collegamentoipertestuale"/>
            <w:b/>
            <w:i/>
            <w:color w:val="00B050"/>
            <w:sz w:val="24"/>
          </w:rPr>
          <w:t>13</w:t>
        </w:r>
      </w:hyperlink>
      <w:r w:rsidRPr="00074C21">
        <w:rPr>
          <w:rStyle w:val="badge"/>
          <w:b/>
          <w:i/>
          <w:color w:val="00B050"/>
          <w:sz w:val="24"/>
        </w:rPr>
        <w:t xml:space="preserve"> </w:t>
      </w:r>
      <w:hyperlink r:id="rId59" w:history="1">
        <w:r w:rsidRPr="00074C21">
          <w:rPr>
            <w:rStyle w:val="Collegamentoipertestuale"/>
            <w:b/>
            <w:i/>
            <w:color w:val="00B050"/>
            <w:sz w:val="24"/>
          </w:rPr>
          <w:t>14</w:t>
        </w:r>
      </w:hyperlink>
      <w:r w:rsidRPr="00074C21">
        <w:rPr>
          <w:rStyle w:val="badge"/>
          <w:b/>
          <w:i/>
          <w:color w:val="00B050"/>
          <w:sz w:val="24"/>
        </w:rPr>
        <w:t xml:space="preserve"> </w:t>
      </w:r>
      <w:hyperlink r:id="rId60" w:history="1">
        <w:r w:rsidRPr="00074C21">
          <w:rPr>
            <w:rStyle w:val="Collegamentoipertestuale"/>
            <w:b/>
            <w:i/>
            <w:color w:val="00B050"/>
            <w:sz w:val="24"/>
          </w:rPr>
          <w:t>15</w:t>
        </w:r>
      </w:hyperlink>
      <w:r w:rsidRPr="00074C21">
        <w:rPr>
          <w:rStyle w:val="badge"/>
          <w:b/>
          <w:i/>
          <w:color w:val="00B050"/>
          <w:sz w:val="24"/>
        </w:rPr>
        <w:t xml:space="preserve"> </w:t>
      </w:r>
      <w:hyperlink r:id="rId61" w:history="1">
        <w:r w:rsidRPr="00074C21">
          <w:rPr>
            <w:rStyle w:val="Collegamentoipertestuale"/>
            <w:b/>
            <w:i/>
            <w:color w:val="0070C0"/>
            <w:sz w:val="24"/>
          </w:rPr>
          <w:t>16</w:t>
        </w:r>
      </w:hyperlink>
      <w:r w:rsidRPr="00074C21">
        <w:rPr>
          <w:rStyle w:val="badge"/>
          <w:b/>
          <w:i/>
          <w:color w:val="0070C0"/>
          <w:sz w:val="24"/>
        </w:rPr>
        <w:t xml:space="preserve"> </w:t>
      </w:r>
      <w:hyperlink r:id="rId62" w:history="1">
        <w:r w:rsidRPr="00074C21">
          <w:rPr>
            <w:rStyle w:val="Collegamentoipertestuale"/>
            <w:b/>
            <w:i/>
            <w:color w:val="0070C0"/>
            <w:sz w:val="24"/>
          </w:rPr>
          <w:t>17</w:t>
        </w:r>
      </w:hyperlink>
      <w:r w:rsidRPr="00074C21">
        <w:rPr>
          <w:rStyle w:val="badge"/>
          <w:b/>
          <w:sz w:val="24"/>
        </w:rPr>
        <w:t xml:space="preserve">   </w:t>
      </w:r>
      <w:hyperlink r:id="rId63" w:history="1">
        <w:r w:rsidRPr="00074C21">
          <w:rPr>
            <w:rStyle w:val="Enfasicorsivo"/>
            <w:b/>
            <w:bCs/>
            <w:color w:val="008000"/>
            <w:sz w:val="24"/>
            <w:u w:val="single"/>
          </w:rPr>
          <w:t>SDGs/UN</w:t>
        </w:r>
      </w:hyperlink>
      <w:r w:rsidRPr="00074C21">
        <w:rPr>
          <w:rStyle w:val="badge"/>
          <w:b/>
          <w:sz w:val="24"/>
        </w:rPr>
        <w:t xml:space="preserve"> </w:t>
      </w:r>
    </w:p>
    <w:p w:rsidR="00DA0B4B" w:rsidRPr="00074C21" w:rsidRDefault="00FB3048" w:rsidP="00DA0B4B">
      <w:pPr>
        <w:tabs>
          <w:tab w:val="left" w:pos="1902"/>
        </w:tabs>
        <w:jc w:val="right"/>
        <w:rPr>
          <w:rFonts w:ascii="Times New Roman" w:hAnsi="Times New Roman" w:cs="Times New Roman"/>
          <w:b/>
          <w:sz w:val="24"/>
          <w:szCs w:val="24"/>
        </w:rPr>
      </w:pPr>
      <w:hyperlink r:id="rId64" w:history="1">
        <w:r w:rsidR="00DA0B4B" w:rsidRPr="00074C21">
          <w:rPr>
            <w:rStyle w:val="Collegamentoipertestuale"/>
            <w:rFonts w:ascii="Times New Roman" w:hAnsi="Times New Roman" w:cs="Times New Roman"/>
            <w:b/>
            <w:i/>
            <w:sz w:val="24"/>
            <w:szCs w:val="24"/>
            <w:lang w:eastAsia="it-IT"/>
          </w:rPr>
          <w:t>http://www.expotv1.com/ESCP_Hello.htm</w:t>
        </w:r>
      </w:hyperlink>
    </w:p>
    <w:p w:rsidR="00DA0B4B" w:rsidRPr="00E40853" w:rsidRDefault="00DA0B4B" w:rsidP="00DA0B4B">
      <w:pPr>
        <w:rPr>
          <w:rFonts w:ascii="Times New Roman" w:hAnsi="Times New Roman" w:cs="Times New Roman"/>
          <w:sz w:val="24"/>
          <w:szCs w:val="24"/>
        </w:rPr>
      </w:pPr>
      <w:r w:rsidRPr="00E40853">
        <w:rPr>
          <w:rFonts w:ascii="Times New Roman" w:hAnsi="Times New Roman" w:cs="Times New Roman"/>
          <w:sz w:val="24"/>
          <w:szCs w:val="24"/>
        </w:rPr>
        <w:br w:type="page"/>
      </w:r>
    </w:p>
    <w:p w:rsidR="00DA0B4B" w:rsidRPr="00E40853" w:rsidRDefault="00DA0B4B" w:rsidP="00DA0B4B">
      <w:pPr>
        <w:rPr>
          <w:rFonts w:ascii="Times New Roman" w:hAnsi="Times New Roman" w:cs="Times New Roman"/>
          <w:sz w:val="24"/>
          <w:szCs w:val="24"/>
        </w:rPr>
      </w:pPr>
    </w:p>
    <w:p w:rsidR="00DA0B4B" w:rsidRPr="00E40853" w:rsidRDefault="00DA0B4B" w:rsidP="00DA0B4B">
      <w:pPr>
        <w:jc w:val="center"/>
        <w:rPr>
          <w:rFonts w:ascii="Times New Roman" w:hAnsi="Times New Roman" w:cs="Times New Roman"/>
          <w:sz w:val="24"/>
          <w:szCs w:val="24"/>
          <w:lang w:val="en-US"/>
        </w:rPr>
      </w:pPr>
      <w:r>
        <w:rPr>
          <w:rFonts w:ascii="Times New Roman" w:hAnsi="Times New Roman" w:cs="Times New Roman"/>
          <w:noProof/>
          <w:sz w:val="24"/>
          <w:szCs w:val="24"/>
          <w:lang w:eastAsia="it-IT"/>
        </w:rPr>
        <w:drawing>
          <wp:inline distT="0" distB="0" distL="0" distR="0">
            <wp:extent cx="3297027" cy="4667250"/>
            <wp:effectExtent l="19050" t="0" r="0" b="0"/>
            <wp:docPr id="3" name="Immagine 0" descr="V0_MB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MBGC.png"/>
                    <pic:cNvPicPr/>
                  </pic:nvPicPr>
                  <pic:blipFill>
                    <a:blip r:embed="rId65"/>
                    <a:stretch>
                      <a:fillRect/>
                    </a:stretch>
                  </pic:blipFill>
                  <pic:spPr>
                    <a:xfrm>
                      <a:off x="0" y="0"/>
                      <a:ext cx="3297027" cy="4667250"/>
                    </a:xfrm>
                    <a:prstGeom prst="rect">
                      <a:avLst/>
                    </a:prstGeom>
                  </pic:spPr>
                </pic:pic>
              </a:graphicData>
            </a:graphic>
          </wp:inline>
        </w:drawing>
      </w:r>
    </w:p>
    <w:p w:rsidR="00DA0B4B" w:rsidRPr="00E40853" w:rsidRDefault="00DA0B4B" w:rsidP="00DA0B4B">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DA0B4B" w:rsidRPr="00312FFA" w:rsidRDefault="00DA0B4B" w:rsidP="00DA0B4B">
      <w:pPr>
        <w:pStyle w:val="Titolo1"/>
        <w:rPr>
          <w:lang w:val="en-US"/>
        </w:rPr>
      </w:pPr>
      <w:bookmarkStart w:id="35" w:name="_Toc151759473"/>
      <w:r w:rsidRPr="00312FFA">
        <w:rPr>
          <w:lang w:val="en-US"/>
        </w:rPr>
        <w:lastRenderedPageBreak/>
        <w:t>IASR  International Application Status Report</w:t>
      </w:r>
      <w:bookmarkEnd w:id="35"/>
      <w:r w:rsidRPr="00312FFA">
        <w:rPr>
          <w:lang w:val="en-US"/>
        </w:rPr>
        <w:t xml:space="preserve"> </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Received at International Bureau: 02 February 2016 (02.02.2016)</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Information valid as of: 04 May 2016 (04.05.2016)</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Report generated on: 29 September 2023 (29.09.2023)</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(10) Publication number: </w:t>
      </w:r>
      <w:r w:rsidRPr="007E7997">
        <w:rPr>
          <w:rFonts w:ascii="Times New Roman" w:hAnsi="Times New Roman" w:cs="Times New Roman"/>
          <w:sz w:val="24"/>
          <w:szCs w:val="24"/>
          <w:lang w:val="en-US"/>
        </w:rPr>
        <w:tab/>
        <w:t xml:space="preserve">(43) Publication date: </w:t>
      </w:r>
      <w:r w:rsidRPr="007E7997">
        <w:rPr>
          <w:rFonts w:ascii="Times New Roman" w:hAnsi="Times New Roman" w:cs="Times New Roman"/>
          <w:sz w:val="24"/>
          <w:szCs w:val="24"/>
          <w:lang w:val="en-US"/>
        </w:rPr>
        <w:tab/>
        <w:t>(26) Publication language:</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WO 2016/092582</w:t>
      </w:r>
      <w:r w:rsidRPr="007E7997">
        <w:rPr>
          <w:rFonts w:ascii="Times New Roman" w:hAnsi="Times New Roman" w:cs="Times New Roman"/>
          <w:sz w:val="24"/>
          <w:szCs w:val="24"/>
          <w:lang w:val="en-US"/>
        </w:rPr>
        <w:tab/>
        <w:t xml:space="preserve">16 June 2016 (16.06.2016) </w:t>
      </w:r>
      <w:r w:rsidRPr="007E7997">
        <w:rPr>
          <w:rFonts w:ascii="Times New Roman" w:hAnsi="Times New Roman" w:cs="Times New Roman"/>
          <w:sz w:val="24"/>
          <w:szCs w:val="24"/>
          <w:lang w:val="en-US"/>
        </w:rPr>
        <w:tab/>
        <w:t>English (EN)</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(21) Application number: </w:t>
      </w:r>
      <w:r w:rsidRPr="007E7997">
        <w:rPr>
          <w:rFonts w:ascii="Times New Roman" w:hAnsi="Times New Roman" w:cs="Times New Roman"/>
          <w:sz w:val="24"/>
          <w:szCs w:val="24"/>
          <w:lang w:val="en-US"/>
        </w:rPr>
        <w:tab/>
        <w:t xml:space="preserve">(22) Filing date: </w:t>
      </w:r>
      <w:r w:rsidRPr="007E7997">
        <w:rPr>
          <w:rFonts w:ascii="Times New Roman" w:hAnsi="Times New Roman" w:cs="Times New Roman"/>
          <w:sz w:val="24"/>
          <w:szCs w:val="24"/>
          <w:lang w:val="en-US"/>
        </w:rPr>
        <w:tab/>
        <w:t>(25) Filing language:</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PCT/IT2015/000306</w:t>
      </w:r>
      <w:r w:rsidRPr="007E7997">
        <w:rPr>
          <w:rFonts w:ascii="Times New Roman" w:hAnsi="Times New Roman" w:cs="Times New Roman"/>
          <w:sz w:val="24"/>
          <w:szCs w:val="24"/>
          <w:lang w:val="en-US"/>
        </w:rPr>
        <w:tab/>
        <w:t xml:space="preserve">14 December 2015 (14.12.2015) </w:t>
      </w:r>
      <w:r w:rsidRPr="007E7997">
        <w:rPr>
          <w:rFonts w:ascii="Times New Roman" w:hAnsi="Times New Roman" w:cs="Times New Roman"/>
          <w:sz w:val="24"/>
          <w:szCs w:val="24"/>
          <w:lang w:val="en-US"/>
        </w:rPr>
        <w:tab/>
        <w:t>Italian (IT)</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 xml:space="preserve">(31) Priority number(s): </w:t>
      </w:r>
      <w:r w:rsidRPr="007E7997">
        <w:rPr>
          <w:rFonts w:ascii="Times New Roman" w:hAnsi="Times New Roman" w:cs="Times New Roman"/>
          <w:sz w:val="24"/>
          <w:szCs w:val="24"/>
          <w:lang w:val="en-US"/>
        </w:rPr>
        <w:tab/>
        <w:t xml:space="preserve">(32) Priority date(s): </w:t>
      </w:r>
      <w:r w:rsidRPr="007E7997">
        <w:rPr>
          <w:rFonts w:ascii="Times New Roman" w:hAnsi="Times New Roman" w:cs="Times New Roman"/>
          <w:sz w:val="24"/>
          <w:szCs w:val="24"/>
          <w:lang w:val="en-US"/>
        </w:rPr>
        <w:tab/>
        <w:t>(33) Priority status:</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MI2014A002125 (IT)</w:t>
      </w:r>
      <w:r w:rsidRPr="007E7997">
        <w:rPr>
          <w:rFonts w:ascii="Times New Roman" w:hAnsi="Times New Roman" w:cs="Times New Roman"/>
          <w:sz w:val="24"/>
          <w:szCs w:val="24"/>
          <w:lang w:val="en-US"/>
        </w:rPr>
        <w:tab/>
        <w:t xml:space="preserve">12 December 2014 (12.12.2014) </w:t>
      </w:r>
      <w:r w:rsidRPr="007E7997">
        <w:rPr>
          <w:rFonts w:ascii="Times New Roman" w:hAnsi="Times New Roman" w:cs="Times New Roman"/>
          <w:sz w:val="24"/>
          <w:szCs w:val="24"/>
          <w:lang w:val="en-US"/>
        </w:rPr>
        <w:tab/>
        <w:t>Priority document received (in compliance with PCT Rule 17.1)</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(51) International Patent Classification:</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C12M 1/107 (2006.01); C12M 1/00 (2006.01); C12M 1/02 (2006.01)</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(71) Applicant(s):</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LAVANGA, Vito [IT/IT]; Via Terrazzano 85 20017 Rho (MI) (IT) (for all designated states)</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rPr>
      </w:pPr>
      <w:r w:rsidRPr="007E7997">
        <w:rPr>
          <w:rFonts w:ascii="Times New Roman" w:hAnsi="Times New Roman" w:cs="Times New Roman"/>
          <w:sz w:val="24"/>
          <w:szCs w:val="24"/>
        </w:rPr>
        <w:t>(72) Inventor(s):</w:t>
      </w:r>
    </w:p>
    <w:p w:rsidR="00DA0B4B" w:rsidRPr="007E7997" w:rsidRDefault="00DA0B4B" w:rsidP="00DA0B4B">
      <w:pPr>
        <w:jc w:val="both"/>
        <w:rPr>
          <w:rFonts w:ascii="Times New Roman" w:hAnsi="Times New Roman" w:cs="Times New Roman"/>
          <w:sz w:val="24"/>
          <w:szCs w:val="24"/>
        </w:rPr>
      </w:pPr>
      <w:r w:rsidRPr="007E7997">
        <w:rPr>
          <w:rFonts w:ascii="Times New Roman" w:hAnsi="Times New Roman" w:cs="Times New Roman"/>
          <w:sz w:val="24"/>
          <w:szCs w:val="24"/>
        </w:rPr>
        <w:t>LAVANGA, Vito; Via Terrazzano 85 20017 Rho (MI) (IT)</w:t>
      </w:r>
    </w:p>
    <w:p w:rsidR="00DA0B4B" w:rsidRPr="007E7997" w:rsidRDefault="00DA0B4B" w:rsidP="00DA0B4B">
      <w:pPr>
        <w:jc w:val="both"/>
        <w:rPr>
          <w:rFonts w:ascii="Times New Roman" w:hAnsi="Times New Roman" w:cs="Times New Roman"/>
          <w:sz w:val="24"/>
          <w:szCs w:val="24"/>
        </w:rPr>
      </w:pPr>
      <w:r w:rsidRPr="007E7997">
        <w:rPr>
          <w:rFonts w:ascii="Times New Roman" w:hAnsi="Times New Roman" w:cs="Times New Roman"/>
          <w:sz w:val="24"/>
          <w:szCs w:val="24"/>
        </w:rPr>
        <w:t>FARNE', Stefano; Via Trasimeno 40/14 20128 Milano (MI) (IT)</w:t>
      </w:r>
    </w:p>
    <w:p w:rsidR="00DA0B4B" w:rsidRPr="007E7997" w:rsidRDefault="00DA0B4B" w:rsidP="00DA0B4B">
      <w:pPr>
        <w:jc w:val="both"/>
        <w:rPr>
          <w:rFonts w:ascii="Times New Roman" w:hAnsi="Times New Roman" w:cs="Times New Roman"/>
          <w:sz w:val="24"/>
          <w:szCs w:val="24"/>
        </w:rPr>
      </w:pPr>
    </w:p>
    <w:p w:rsidR="00DA0B4B" w:rsidRPr="007E7997" w:rsidRDefault="00DA0B4B" w:rsidP="00DA0B4B">
      <w:pPr>
        <w:jc w:val="both"/>
        <w:rPr>
          <w:rFonts w:ascii="Times New Roman" w:hAnsi="Times New Roman" w:cs="Times New Roman"/>
          <w:sz w:val="24"/>
          <w:szCs w:val="24"/>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(54) Title (EN): METHOD FOR ANAEROBIC DIGESTION AND DEVICE FOR IMPLEMENTING SAID METHOD</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(54) Title (FR): PROCÉDÉ DE DIGESTION ANAÉROBIE ET DISPOSITIF POUR LA MISE EN ŒUVRE DUDIT PROCÉDÉ</w:t>
      </w:r>
    </w:p>
    <w:p w:rsidR="00DA0B4B" w:rsidRPr="007E7997" w:rsidRDefault="00DA0B4B" w:rsidP="00DA0B4B">
      <w:pPr>
        <w:jc w:val="both"/>
        <w:rPr>
          <w:rFonts w:ascii="Times New Roman" w:hAnsi="Times New Roman" w:cs="Times New Roman"/>
          <w:sz w:val="24"/>
          <w:szCs w:val="24"/>
          <w:lang w:val="en-US"/>
        </w:rPr>
      </w:pPr>
    </w:p>
    <w:p w:rsidR="00DA0B4B"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(57) Abstract:</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(EN): This invention relates to a method and to a device for the implementation of said method, to decompose and to selectively extract methane, carbon dioxide, NPK salts (nitrogen, phosphorus and potassium salts) of various titre and clarified water, from an organic matrix; said components will be the raw material for further industrial processes. The method is characterized in that it includes the following phases: • implementation of a hydrolytic phase, constituted by the fission action by means of the water, by hydration; • implementation of a acidogenesis phase generated by means of specific bacteria; • </w:t>
      </w:r>
      <w:r w:rsidRPr="007E7997">
        <w:rPr>
          <w:rFonts w:ascii="Times New Roman" w:hAnsi="Times New Roman" w:cs="Times New Roman"/>
          <w:sz w:val="24"/>
          <w:szCs w:val="24"/>
          <w:lang w:val="en-US"/>
        </w:rPr>
        <w:lastRenderedPageBreak/>
        <w:t xml:space="preserve">implementation of a acetogenesis phase generated by means of specific bacteria; • implementation of a methanogenesis phase by means of specific bacteria, with a simultaneous gravimetric separation of a mainly oleic phase, lighter and of a predominantly protein phase, heavier; • gravimetric separation of solutions of said NPK salts of different titres • taking of clarified water. The device is characterized in that it comprises a basin (1) divided into various zones (V1), (V2), (V3), in each of which biological reactions occur, in accordance with the claimed method, said zones being all communicating and identified by suitable separation baffles, in particular: • a first baffle (2) extended from a first end (1a) of the basin to a second end (1b) of said basin (1), dividing it into two parts; • a second baffle (3), of height equal to said first baffle that divides one of said parts in a first zone (V1) and in a second zone (V2) extending from said first end (1a) of the basin (1) until it reaches the vicinity of said second end of the basin (1), so that said two zones (V1) and (V2) are communicating through an opening, of substantially vertical development, between the end of said second baffle (3) and the second end (1b) of the basin (1); • a plurality of baffles (4) and (5) transversely arranged to said first baffle (2) and inside a third zone (V3), delimited by said first baffle (2), said third zone (V3) being placed in communication with said second zone (V2) through a </w:t>
      </w:r>
      <w:r w:rsidRPr="007E7997">
        <w:rPr>
          <w:rFonts w:ascii="Times New Roman" w:hAnsi="Times New Roman" w:cs="Times New Roman"/>
          <w:sz w:val="24"/>
          <w:szCs w:val="24"/>
          <w:lang w:val="en-US"/>
        </w:rPr>
        <w:lastRenderedPageBreak/>
        <w:t>transfer pipe (6), positioned at about half height of said first baffle (2); • two blocks (B) and (C), placed in the upper part of said basin (1) and provided by taking means (12, 12a, 13, 13a), each of said blocks (B) and (C) including a plurality of vertical pipes and being fitted to carry out a gravimetric separation of the gases that are generated during the treatment of said mixture; said baffles (2) and (3) and said transfer pipe (6), by identifying a path crossed by the liquid mixture to be treated, that runs into the beginning of said first zone (1) where it is placed an inlet pipe (7) of the liquid mixture to be treated and comes out from various points of said third zone (V3).</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(FR): La présente invention concerne un procédé et un dispositif pour la mise en œuvre dudit procédé, pour décomposer et extraire sélectivement du méthane, du dioxyde de carbone, des sels de NPK (sels d'azote, de phosphore et de potassium) de titres divers et de l'eau clarifiée, à partir d'une matrice organique; lesdits composants constituant la matière première pour d'autres procédés industriels. Le procédé est caractérisé en ce qu'il comprend les phases suivantes : mise en œuvre d'une phase hydrolytique, constituée par l'action de fission au moyen de l'eau, par hydratation; mise en œuvre d'une phase d'acidogénèse au moyen de bactéries spécifiques; mise en œuvre d'une phase d'acétogénèse au moyen de </w:t>
      </w:r>
      <w:r w:rsidRPr="007E7997">
        <w:rPr>
          <w:rFonts w:ascii="Times New Roman" w:hAnsi="Times New Roman" w:cs="Times New Roman"/>
          <w:sz w:val="24"/>
          <w:szCs w:val="24"/>
          <w:lang w:val="en-US"/>
        </w:rPr>
        <w:lastRenderedPageBreak/>
        <w:t xml:space="preserve">bactéries spécifiques; mise en œuvre d'une phase de méthanogénèse, au moyen de bactéries spécifiques, avec séparation gravimétrique simultanée d'une phase principalement oléique, plus légère, et d'une phase principalement protéique, plus lourde; séparation gravimétrique de solutions desdits sels de NPK de titres différents; prélèvement de l'eau clarifiée. Le dispositif se caractérise en ce qu'il comprend un bassin (1) divisé en différentes zones (V1) (V2), (V3), dans chacune desquelles ont lieu des réactions biologiques, conformément au procédé de l'invention, lesdites zones étant toutes communicantes et identifiées par des chicanes de séparation appropriées, en particulier : une première chicane (2) s'étendant d'une première extrémité (1a) du bassin jusqu'à une deuxième extrémité (1b) dudit bassin (1), le divisant en deux parties; une deuxième chicane (3), de hauteur égale à celles de ladite première chicane qui divise l'une desdites parties en une première zone (V1) et en une deuxième zone (V2) s'étendant entre ladite première extrémité (1a) du bassin (1) et le voisinage de ladite seconde extrémité du bassin (1), de sorte que lesdites deux zones (V1) et (V2) communiquent par une ouverture, de développement sensiblement vertical, entre l'extrémité de ladite deuxième chicane (3) et la seconde extrémité (1b) du bassin (1); une pluralité de chicanes (4) et (5) placées transversalement par rapport à ladite </w:t>
      </w:r>
      <w:r w:rsidRPr="007E7997">
        <w:rPr>
          <w:rFonts w:ascii="Times New Roman" w:hAnsi="Times New Roman" w:cs="Times New Roman"/>
          <w:sz w:val="24"/>
          <w:szCs w:val="24"/>
          <w:lang w:val="en-US"/>
        </w:rPr>
        <w:lastRenderedPageBreak/>
        <w:t>première chicane (2) et à l'intérieur d'une troisième zone (V3), délimitée par ladite première chicane (2), ladite troisième zone (V3) étant mise en communication avec ladite deuxième zone (V2) par un tuyau de transfert (6), placé à environ la moitié de la hauteur de ladite première chicane (2); deux blocs (B) et (C), placés dans la partie supérieure dudit bassin (1) et munis de moyens de prélèvement (12, 12a, 13, 13a), chacun desdits blocs (B) et (C) comprenant une pluralité de tuyaux verticaux et étant conçu pour effectuer une séparation gravimétrique des gaz qui se dégagent pendant le traitement dudit mélange; lesdites chicanes (2) et (3) et ledit tuyau de transfert (6) délimitant un trajet emprunté par le mélange liquide à traiter, qui s'étend du début de ladite première zone (1) dans laquelle est placé un tuyau d'entrée (7) du mélange liquide à traiter et sort par différents points de ladite troisième zone (V3).</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International search report:</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Received at International Bureau: 02 May 2016 (02.05.2016) [EP]</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International Report on Patentability (IPRP) Chapter II of the PCT:</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Not available</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(81) Designated States:</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SY, TH, TJ, TM, TN, TR, TT, TZ, UA, UG, US, UZ, VC, VN, ZA, ZM, ZW</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African Intellectual Property Organization (OAPI) : BF, BJ, CF, CG, CI, CM, GA, GN, GQ, GW, KM, ML, MR, NE, SN, TD, TG</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African Regional Intellectual Property Organization (ARIPO) : BW, GH, GM, KE, LR, LS, MW, MZ, NA, RW, SD, SL, ST, SZ, TZ, UG, ZM, ZW</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Eurasian Patent Organization (EAPO) : AM, AZ, BY, KG, KZ, RU, TJ, TM</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Declarations:</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 made as applicant's entitlement, as at the international filing date, to apply for and be granted a patent (Rules 4.17(ii) and 51bis.1(a)(ii)), in a case where the declaration under Rule 4.17(iv) is not appropriate</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 of inventorship (Rules 4.17(iv) and 51bis.1(a)(iv)) for the purposes of the designation of the United States of America</w:t>
      </w:r>
    </w:p>
    <w:p w:rsidR="00DA0B4B" w:rsidRPr="007E7997" w:rsidRDefault="00DA0B4B" w:rsidP="00DA0B4B">
      <w:pPr>
        <w:jc w:val="both"/>
        <w:rPr>
          <w:rFonts w:ascii="Times New Roman" w:hAnsi="Times New Roman" w:cs="Times New Roman"/>
          <w:sz w:val="24"/>
          <w:szCs w:val="24"/>
          <w:lang w:val="en-US"/>
        </w:rPr>
      </w:pPr>
    </w:p>
    <w:p w:rsidR="00DA0B4B" w:rsidRPr="00E40853" w:rsidRDefault="00DA0B4B" w:rsidP="00DA0B4B">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DA0B4B" w:rsidRPr="00E40853" w:rsidRDefault="00DA0B4B" w:rsidP="00DA0B4B">
      <w:pPr>
        <w:spacing w:line="360" w:lineRule="auto"/>
        <w:jc w:val="both"/>
        <w:rPr>
          <w:rFonts w:ascii="Times New Roman" w:hAnsi="Times New Roman" w:cs="Times New Roman"/>
          <w:sz w:val="24"/>
          <w:szCs w:val="24"/>
          <w:lang w:val="en-US"/>
        </w:rPr>
      </w:pPr>
      <w:r w:rsidRPr="00E40853">
        <w:rPr>
          <w:rFonts w:ascii="Times New Roman" w:hAnsi="Times New Roman" w:cs="Times New Roman"/>
          <w:noProof/>
          <w:sz w:val="24"/>
          <w:szCs w:val="24"/>
          <w:lang w:eastAsia="it-IT"/>
        </w:rPr>
        <w:lastRenderedPageBreak/>
        <w:drawing>
          <wp:inline distT="0" distB="0" distL="0" distR="0">
            <wp:extent cx="4812786" cy="3119100"/>
            <wp:effectExtent l="0" t="838200" r="0" b="824250"/>
            <wp:docPr id="4"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6"/>
                    <a:stretch>
                      <a:fillRect/>
                    </a:stretch>
                  </pic:blipFill>
                  <pic:spPr>
                    <a:xfrm rot="16200000">
                      <a:off x="0" y="0"/>
                      <a:ext cx="4818316" cy="3122684"/>
                    </a:xfrm>
                    <a:prstGeom prst="rect">
                      <a:avLst/>
                    </a:prstGeom>
                  </pic:spPr>
                </pic:pic>
              </a:graphicData>
            </a:graphic>
          </wp:inline>
        </w:drawing>
      </w:r>
    </w:p>
    <w:p w:rsidR="00EA4604" w:rsidRPr="00DA0B4B" w:rsidRDefault="00EA4604" w:rsidP="00E40853">
      <w:pPr>
        <w:spacing w:line="360" w:lineRule="auto"/>
        <w:jc w:val="both"/>
        <w:rPr>
          <w:rFonts w:ascii="Times New Roman" w:hAnsi="Times New Roman" w:cs="Times New Roman"/>
          <w:sz w:val="24"/>
          <w:szCs w:val="24"/>
          <w:lang w:val="en-US"/>
        </w:rPr>
      </w:pPr>
    </w:p>
    <w:sectPr w:rsidR="00EA4604" w:rsidRPr="00DA0B4B" w:rsidSect="00D86830">
      <w:footerReference w:type="default" r:id="rId67"/>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BEE" w:rsidRDefault="00E51BEE" w:rsidP="00F0731B">
      <w:pPr>
        <w:spacing w:after="0" w:line="240" w:lineRule="auto"/>
      </w:pPr>
      <w:r>
        <w:separator/>
      </w:r>
    </w:p>
  </w:endnote>
  <w:endnote w:type="continuationSeparator" w:id="1">
    <w:p w:rsidR="00E51BEE" w:rsidRDefault="00E51BEE"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FA4F8B" w:rsidRDefault="00FB3048">
        <w:pPr>
          <w:pStyle w:val="Pidipagina"/>
          <w:jc w:val="center"/>
        </w:pPr>
        <w:fldSimple w:instr=" PAGE   \* MERGEFORMAT ">
          <w:r w:rsidR="005D6701">
            <w:rPr>
              <w:noProof/>
            </w:rPr>
            <w:t>2</w:t>
          </w:r>
        </w:fldSimple>
      </w:p>
    </w:sdtContent>
  </w:sdt>
  <w:p w:rsidR="00FA4F8B" w:rsidRDefault="00FA4F8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BEE" w:rsidRDefault="00E51BEE" w:rsidP="00F0731B">
      <w:pPr>
        <w:spacing w:after="0" w:line="240" w:lineRule="auto"/>
      </w:pPr>
      <w:r>
        <w:separator/>
      </w:r>
    </w:p>
  </w:footnote>
  <w:footnote w:type="continuationSeparator" w:id="1">
    <w:p w:rsidR="00E51BEE" w:rsidRDefault="00E51BEE" w:rsidP="00F07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866F1"/>
    <w:multiLevelType w:val="hybridMultilevel"/>
    <w:tmpl w:val="CD6A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AF2E66"/>
    <w:multiLevelType w:val="hybridMultilevel"/>
    <w:tmpl w:val="5E5E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7B5ACF"/>
    <w:multiLevelType w:val="hybridMultilevel"/>
    <w:tmpl w:val="3AB6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F10908"/>
    <w:multiLevelType w:val="hybridMultilevel"/>
    <w:tmpl w:val="5C24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7933D3"/>
    <w:multiLevelType w:val="hybridMultilevel"/>
    <w:tmpl w:val="E226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3C251B"/>
    <w:multiLevelType w:val="hybridMultilevel"/>
    <w:tmpl w:val="60C0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05776"/>
    <w:rsid w:val="00074C21"/>
    <w:rsid w:val="00081F51"/>
    <w:rsid w:val="00105D40"/>
    <w:rsid w:val="00116208"/>
    <w:rsid w:val="00135C8E"/>
    <w:rsid w:val="00150853"/>
    <w:rsid w:val="00173CE6"/>
    <w:rsid w:val="0017546D"/>
    <w:rsid w:val="001806AD"/>
    <w:rsid w:val="0019259E"/>
    <w:rsid w:val="00241EF4"/>
    <w:rsid w:val="00253B79"/>
    <w:rsid w:val="00260E27"/>
    <w:rsid w:val="00270F5F"/>
    <w:rsid w:val="002A799F"/>
    <w:rsid w:val="002B4C63"/>
    <w:rsid w:val="002E600E"/>
    <w:rsid w:val="00312FFA"/>
    <w:rsid w:val="003155BE"/>
    <w:rsid w:val="00330901"/>
    <w:rsid w:val="00356F94"/>
    <w:rsid w:val="00373823"/>
    <w:rsid w:val="00395A27"/>
    <w:rsid w:val="003B0B7A"/>
    <w:rsid w:val="003C7DE5"/>
    <w:rsid w:val="004D4C3E"/>
    <w:rsid w:val="004D7F8B"/>
    <w:rsid w:val="004E40D3"/>
    <w:rsid w:val="00503AF0"/>
    <w:rsid w:val="00524445"/>
    <w:rsid w:val="00527BD0"/>
    <w:rsid w:val="005544BF"/>
    <w:rsid w:val="00571895"/>
    <w:rsid w:val="005D5621"/>
    <w:rsid w:val="005D58FA"/>
    <w:rsid w:val="005D6701"/>
    <w:rsid w:val="005E3357"/>
    <w:rsid w:val="005E6EF9"/>
    <w:rsid w:val="005F747E"/>
    <w:rsid w:val="00631909"/>
    <w:rsid w:val="006414E5"/>
    <w:rsid w:val="00670B98"/>
    <w:rsid w:val="006C7529"/>
    <w:rsid w:val="006E6FA1"/>
    <w:rsid w:val="006F7AC6"/>
    <w:rsid w:val="007342E3"/>
    <w:rsid w:val="007A44AD"/>
    <w:rsid w:val="007D5AA6"/>
    <w:rsid w:val="007E5DE2"/>
    <w:rsid w:val="007E7997"/>
    <w:rsid w:val="00820E4A"/>
    <w:rsid w:val="00832F6A"/>
    <w:rsid w:val="00841826"/>
    <w:rsid w:val="00867E83"/>
    <w:rsid w:val="00894450"/>
    <w:rsid w:val="00897C4E"/>
    <w:rsid w:val="008E4FE1"/>
    <w:rsid w:val="00977E67"/>
    <w:rsid w:val="00981F5A"/>
    <w:rsid w:val="009A2618"/>
    <w:rsid w:val="009B0DF9"/>
    <w:rsid w:val="009C64D6"/>
    <w:rsid w:val="00AA304A"/>
    <w:rsid w:val="00AC609C"/>
    <w:rsid w:val="00B43718"/>
    <w:rsid w:val="00B94E2B"/>
    <w:rsid w:val="00C165F1"/>
    <w:rsid w:val="00C51A45"/>
    <w:rsid w:val="00C57364"/>
    <w:rsid w:val="00C62493"/>
    <w:rsid w:val="00C74734"/>
    <w:rsid w:val="00D526BD"/>
    <w:rsid w:val="00D62E9F"/>
    <w:rsid w:val="00D674AF"/>
    <w:rsid w:val="00D86830"/>
    <w:rsid w:val="00DA0B4B"/>
    <w:rsid w:val="00DB04CD"/>
    <w:rsid w:val="00E002E0"/>
    <w:rsid w:val="00E40853"/>
    <w:rsid w:val="00E44F86"/>
    <w:rsid w:val="00E51BEE"/>
    <w:rsid w:val="00E536DE"/>
    <w:rsid w:val="00E83653"/>
    <w:rsid w:val="00E94710"/>
    <w:rsid w:val="00EA2146"/>
    <w:rsid w:val="00EA4604"/>
    <w:rsid w:val="00EB0EE2"/>
    <w:rsid w:val="00EE5380"/>
    <w:rsid w:val="00EE6BCB"/>
    <w:rsid w:val="00F0731B"/>
    <w:rsid w:val="00F31E89"/>
    <w:rsid w:val="00F65D80"/>
    <w:rsid w:val="00F91FCD"/>
    <w:rsid w:val="00FA4F8B"/>
    <w:rsid w:val="00FB3048"/>
    <w:rsid w:val="00FC06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0B4B"/>
  </w:style>
  <w:style w:type="paragraph" w:styleId="Titolo1">
    <w:name w:val="heading 1"/>
    <w:basedOn w:val="Normale"/>
    <w:next w:val="Normale"/>
    <w:link w:val="Titolo1Carattere"/>
    <w:uiPriority w:val="9"/>
    <w:qFormat/>
    <w:rsid w:val="00373823"/>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3823"/>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330901"/>
    <w:pPr>
      <w:spacing w:after="100"/>
      <w:ind w:left="220"/>
    </w:pPr>
  </w:style>
  <w:style w:type="paragraph" w:styleId="Sommario1">
    <w:name w:val="toc 1"/>
    <w:basedOn w:val="Normale"/>
    <w:next w:val="Normale"/>
    <w:autoRedefine/>
    <w:uiPriority w:val="39"/>
    <w:unhideWhenUsed/>
    <w:rsid w:val="00356F94"/>
    <w:pPr>
      <w:tabs>
        <w:tab w:val="right" w:leader="dot" w:pos="5659"/>
      </w:tabs>
      <w:spacing w:after="100"/>
    </w:pPr>
    <w:rPr>
      <w:noProof/>
      <w:lang w:val="en-US"/>
    </w:rPr>
  </w:style>
  <w:style w:type="paragraph" w:styleId="Paragrafoelenco">
    <w:name w:val="List Paragraph"/>
    <w:basedOn w:val="Normale"/>
    <w:uiPriority w:val="34"/>
    <w:qFormat/>
    <w:rsid w:val="00FA4F8B"/>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divs>
    <w:div w:id="24985546">
      <w:bodyDiv w:val="1"/>
      <w:marLeft w:val="0"/>
      <w:marRight w:val="0"/>
      <w:marTop w:val="0"/>
      <w:marBottom w:val="0"/>
      <w:divBdr>
        <w:top w:val="none" w:sz="0" w:space="0" w:color="auto"/>
        <w:left w:val="none" w:sz="0" w:space="0" w:color="auto"/>
        <w:bottom w:val="none" w:sz="0" w:space="0" w:color="auto"/>
        <w:right w:val="none" w:sz="0" w:space="0" w:color="auto"/>
      </w:divBdr>
    </w:div>
    <w:div w:id="19315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ESCP_NUT_Team.pdf" TargetMode="External"/><Relationship Id="rId26" Type="http://schemas.openxmlformats.org/officeDocument/2006/relationships/hyperlink" Target="https://www.bing.com/images/search?q=%28organic+waste+to+biogas%2c+for+urban+and+periurban%29&amp;FORM=HDRSC2" TargetMode="External"/><Relationship Id="rId39" Type="http://schemas.openxmlformats.org/officeDocument/2006/relationships/hyperlink" Target="https://sdgs.un.org/goals" TargetMode="External"/><Relationship Id="rId21" Type="http://schemas.openxmlformats.org/officeDocument/2006/relationships/hyperlink" Target="http://www.expotv1.com/JWT_to_SDG_UN.pdf" TargetMode="External"/><Relationship Id="rId34" Type="http://schemas.openxmlformats.org/officeDocument/2006/relationships/hyperlink" Target="http://www.expotv1.com/LIC/UIBM_MBGC.pdf"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2" TargetMode="External"/><Relationship Id="rId50" Type="http://schemas.openxmlformats.org/officeDocument/2006/relationships/hyperlink" Target="https://sdgs.un.org/goals/goal5" TargetMode="External"/><Relationship Id="rId55" Type="http://schemas.openxmlformats.org/officeDocument/2006/relationships/hyperlink" Target="https://sdgs.un.org/goals/goal10" TargetMode="External"/><Relationship Id="rId63" Type="http://schemas.openxmlformats.org/officeDocument/2006/relationships/hyperlink" Target="http://www.expotv1.com/JWT_to_SDG_UN.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xpotv1.com/LIC/BUNIT/LISTV.ASP" TargetMode="External"/><Relationship Id="rId29" Type="http://schemas.openxmlformats.org/officeDocument/2006/relationships/hyperlink" Target="http://www.expotv1.com/LIC/MISE_0001427413_MBG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wt-jwt.it/" TargetMode="External"/><Relationship Id="rId24" Type="http://schemas.openxmlformats.org/officeDocument/2006/relationships/hyperlink" Target="http://www.expotv1.com/LIC/UIBM_MBGC.pdf" TargetMode="External"/><Relationship Id="rId32" Type="http://schemas.openxmlformats.org/officeDocument/2006/relationships/hyperlink" Target="http://www.expotv1.com/ESCP_Patent.htm" TargetMode="External"/><Relationship Id="rId37" Type="http://schemas.openxmlformats.org/officeDocument/2006/relationships/hyperlink" Target="https://sdgs.un.org/goals" TargetMode="External"/><Relationship Id="rId40" Type="http://schemas.openxmlformats.org/officeDocument/2006/relationships/hyperlink" Target="https://sdgs.un.org/goals" TargetMode="External"/><Relationship Id="rId45" Type="http://schemas.openxmlformats.org/officeDocument/2006/relationships/hyperlink" Target="https://sdgs-un-org.translate.goog/goals?_x_tr_sl=en&amp;_x_tr_tl=it&amp;_x_tr_hl=it&amp;_x_tr_pto=wapp" TargetMode="External"/><Relationship Id="rId53" Type="http://schemas.openxmlformats.org/officeDocument/2006/relationships/hyperlink" Target="https://sdgs.un.org/goals/goal8" TargetMode="External"/><Relationship Id="rId58" Type="http://schemas.openxmlformats.org/officeDocument/2006/relationships/hyperlink" Target="https://sdgs.un.org/goals/goal13" TargetMode="External"/><Relationship Id="rId66"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expotv1.com/LIC/BUNIT/LISTV.ASP" TargetMode="External"/><Relationship Id="rId23" Type="http://schemas.openxmlformats.org/officeDocument/2006/relationships/hyperlink" Target="https://sdgs.un.org/goals" TargetMode="External"/><Relationship Id="rId28" Type="http://schemas.openxmlformats.org/officeDocument/2006/relationships/hyperlink" Target="http://www.expotv1.com/ESCP_Hello.htm"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4" TargetMode="External"/><Relationship Id="rId57" Type="http://schemas.openxmlformats.org/officeDocument/2006/relationships/hyperlink" Target="https://sdgs.un.org/goals/goal12" TargetMode="External"/><Relationship Id="rId61" Type="http://schemas.openxmlformats.org/officeDocument/2006/relationships/hyperlink" Target="https://sdgs.un.org/goals/goal16" TargetMode="External"/><Relationship Id="rId10" Type="http://schemas.openxmlformats.org/officeDocument/2006/relationships/hyperlink" Target="http://www.expotv1.com/JWT_project.pdf" TargetMode="External"/><Relationship Id="rId19" Type="http://schemas.openxmlformats.org/officeDocument/2006/relationships/hyperlink" Target="http://www.expotv1.com/JWT_to_SDG_UN.pdf" TargetMode="External"/><Relationship Id="rId31" Type="http://schemas.openxmlformats.org/officeDocument/2006/relationships/hyperlink" Target="https://patentscope.wipo.int/search/en/detail.jsf?docId=WO2016092582" TargetMode="External"/><Relationship Id="rId44" Type="http://schemas.openxmlformats.org/officeDocument/2006/relationships/hyperlink" Target="https://sdgs-un-org.translate.goog/goals?_x_tr_sl=en&amp;_x_tr_tl=it&amp;_x_tr_hl=it&amp;_x_tr_pto=wapp" TargetMode="External"/><Relationship Id="rId52" Type="http://schemas.openxmlformats.org/officeDocument/2006/relationships/hyperlink" Target="https://sdgs.un.org/goals/goal7" TargetMode="External"/><Relationship Id="rId60" Type="http://schemas.openxmlformats.org/officeDocument/2006/relationships/hyperlink" Target="https://sdgs.un.org/goals/goal15" TargetMode="External"/><Relationship Id="rId65"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www.expotv1.com/ESCP_NUT_Team.pdf" TargetMode="External"/><Relationship Id="rId27" Type="http://schemas.openxmlformats.org/officeDocument/2006/relationships/hyperlink" Target="http://www.expotv1.com/ESCP_MBGC_Plan.htm" TargetMode="External"/><Relationship Id="rId30" Type="http://schemas.openxmlformats.org/officeDocument/2006/relationships/hyperlink" Target="http://www.expotv1.com/LIC/UIBM_MBGC.pdf" TargetMode="External"/><Relationship Id="rId35" Type="http://schemas.openxmlformats.org/officeDocument/2006/relationships/hyperlink" Target="https://patentscope.wipo.int/search/en/detail.jsf?docId=WO2016092582"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3" TargetMode="External"/><Relationship Id="rId56" Type="http://schemas.openxmlformats.org/officeDocument/2006/relationships/hyperlink" Target="https://sdgs.un.org/goals/goal11" TargetMode="External"/><Relationship Id="rId64" Type="http://schemas.openxmlformats.org/officeDocument/2006/relationships/hyperlink" Target="http://www.expotv1.com/ESCP_Hello.htm" TargetMode="External"/><Relationship Id="rId69" Type="http://schemas.openxmlformats.org/officeDocument/2006/relationships/theme" Target="theme/theme1.xml"/><Relationship Id="rId8" Type="http://schemas.openxmlformats.org/officeDocument/2006/relationships/hyperlink" Target="http://www.expotv1.com/JWT_project.pdf" TargetMode="External"/><Relationship Id="rId51" Type="http://schemas.openxmlformats.org/officeDocument/2006/relationships/hyperlink" Target="https://sdgs.un.org/goals/goal6" TargetMode="External"/><Relationship Id="rId3" Type="http://schemas.openxmlformats.org/officeDocument/2006/relationships/styles" Target="styles.xml"/><Relationship Id="rId12" Type="http://schemas.openxmlformats.org/officeDocument/2006/relationships/hyperlink" Target="http://www.expotv1.com/LIC/BUNIT/LISTV.ASP" TargetMode="External"/><Relationship Id="rId17" Type="http://schemas.openxmlformats.org/officeDocument/2006/relationships/hyperlink" Target="http://www.expotv1.com/LIC/BUNIT/LISTV.ASP" TargetMode="External"/><Relationship Id="rId25" Type="http://schemas.openxmlformats.org/officeDocument/2006/relationships/hyperlink" Target="https://patentscope.wipo.int/search/en/detail.jsf?docId=WO2016092582" TargetMode="External"/><Relationship Id="rId33" Type="http://schemas.openxmlformats.org/officeDocument/2006/relationships/hyperlink" Target="http://www.expotv1.com/PUB/JWT_Service_EN.pdf" TargetMode="External"/><Relationship Id="rId38" Type="http://schemas.openxmlformats.org/officeDocument/2006/relationships/hyperlink" Target="https://sdgs.un.org/goals" TargetMode="External"/><Relationship Id="rId46" Type="http://schemas.openxmlformats.org/officeDocument/2006/relationships/hyperlink" Target="https://sdgs.un.org/goals/goal1" TargetMode="External"/><Relationship Id="rId59" Type="http://schemas.openxmlformats.org/officeDocument/2006/relationships/hyperlink" Target="https://sdgs.un.org/goals/goal14" TargetMode="External"/><Relationship Id="rId67" Type="http://schemas.openxmlformats.org/officeDocument/2006/relationships/footer" Target="footer1.xml"/><Relationship Id="rId20" Type="http://schemas.openxmlformats.org/officeDocument/2006/relationships/hyperlink" Target="http://www.expotv1.com/JWT_to_SDG_UN.pdf"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9" TargetMode="External"/><Relationship Id="rId62" Type="http://schemas.openxmlformats.org/officeDocument/2006/relationships/hyperlink" Target="https://sdgs.un.org/goals/goal1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60D1-1149-426C-93EF-2F8B24B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164</Pages>
  <Words>24621</Words>
  <Characters>140346</Characters>
  <Application>Microsoft Office Word</Application>
  <DocSecurity>0</DocSecurity>
  <Lines>1169</Lines>
  <Paragraphs>329</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164638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3</cp:revision>
  <dcterms:created xsi:type="dcterms:W3CDTF">2023-10-08T18:26:00Z</dcterms:created>
  <dcterms:modified xsi:type="dcterms:W3CDTF">2023-11-24T22:04:00Z</dcterms:modified>
</cp:coreProperties>
</file>